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01" w:rsidRDefault="00E23D01" w:rsidP="00031B41">
      <w:pPr>
        <w:shd w:val="clear" w:color="auto" w:fill="FFFFFF"/>
        <w:spacing w:after="0" w:line="270" w:lineRule="atLeast"/>
        <w:ind w:left="120" w:right="240"/>
        <w:jc w:val="right"/>
        <w:textAlignment w:val="baseline"/>
        <w:rPr>
          <w:rFonts w:ascii="Times New Roman" w:hAnsi="Times New Roman" w:cs="Times New Roman"/>
          <w:sz w:val="24"/>
          <w:szCs w:val="24"/>
          <w:lang w:eastAsia="tr-TR"/>
        </w:rPr>
      </w:pPr>
      <w:r w:rsidRPr="787C14B3">
        <w:rPr>
          <w:rFonts w:ascii="Times New Roman" w:hAnsi="Times New Roman" w:cs="Times New Roman"/>
          <w:b/>
          <w:bCs/>
          <w:color w:val="333333"/>
          <w:sz w:val="48"/>
          <w:szCs w:val="48"/>
          <w:lang w:eastAsia="tr-TR"/>
        </w:rPr>
        <w:t>2016 – 201</w:t>
      </w:r>
      <w:r>
        <w:rPr>
          <w:rFonts w:ascii="Times New Roman" w:hAnsi="Times New Roman" w:cs="Times New Roman"/>
          <w:b/>
          <w:bCs/>
          <w:color w:val="333333"/>
          <w:sz w:val="48"/>
          <w:szCs w:val="48"/>
          <w:lang w:eastAsia="tr-TR"/>
        </w:rPr>
        <w:t>7 ERASMUS</w:t>
      </w:r>
    </w:p>
    <w:p w:rsidR="00E23D01" w:rsidRPr="005B2EBA" w:rsidRDefault="00E23D01" w:rsidP="787C14B3">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3F6B174F">
        <w:rPr>
          <w:rFonts w:ascii="Times New Roman" w:hAnsi="Times New Roman" w:cs="Times New Roman"/>
          <w:sz w:val="24"/>
          <w:szCs w:val="24"/>
          <w:lang w:eastAsia="tr-TR"/>
        </w:rPr>
        <w:t xml:space="preserve">2016–2017 akademik yılında (Güz ve Bahar dönemleri) Erasmus öğrenim ve staj hareketliliğinden faydalanmak isteyen öğrencilerimizin başvuruları  </w:t>
      </w:r>
      <w:r w:rsidRPr="3F6B174F">
        <w:rPr>
          <w:rFonts w:ascii="Times New Roman" w:hAnsi="Times New Roman" w:cs="Times New Roman"/>
          <w:b/>
          <w:bCs/>
          <w:sz w:val="24"/>
          <w:szCs w:val="24"/>
          <w:lang w:eastAsia="tr-TR"/>
        </w:rPr>
        <w:t>29 Şubat 2016 - 15 Mart 2016</w:t>
      </w:r>
      <w:r w:rsidRPr="3F6B174F">
        <w:rPr>
          <w:rFonts w:ascii="Times New Roman" w:hAnsi="Times New Roman" w:cs="Times New Roman"/>
          <w:sz w:val="24"/>
          <w:szCs w:val="24"/>
          <w:lang w:eastAsia="tr-TR"/>
        </w:rPr>
        <w:t> tarihleri arasında alınacaktır. 2016–2017 akademik yılında yapılacak olan öğrenci seçimlerine, yabancı uyruklu öğrencilerimiz de başvuru koşullarını sağlamak</w:t>
      </w:r>
      <w:r w:rsidRPr="3F6B174F">
        <w:rPr>
          <w:rFonts w:ascii="Times New Roman" w:hAnsi="Times New Roman" w:cs="Times New Roman"/>
          <w:color w:val="333333"/>
          <w:sz w:val="24"/>
          <w:szCs w:val="24"/>
          <w:lang w:eastAsia="tr-TR"/>
        </w:rPr>
        <w:t xml:space="preserve"> kaydıyla katılabilirler.</w:t>
      </w:r>
    </w:p>
    <w:p w:rsidR="00E23D01" w:rsidRPr="005B2EBA" w:rsidRDefault="00E23D01" w:rsidP="00B8408F">
      <w:pPr>
        <w:spacing w:after="0" w:line="240" w:lineRule="auto"/>
        <w:jc w:val="both"/>
        <w:rPr>
          <w:rFonts w:ascii="Times New Roman" w:hAnsi="Times New Roman" w:cs="Times New Roman"/>
          <w:sz w:val="24"/>
          <w:szCs w:val="24"/>
          <w:lang w:eastAsia="tr-TR"/>
        </w:rPr>
      </w:pPr>
    </w:p>
    <w:p w:rsidR="00E23D01" w:rsidRPr="005B2EBA" w:rsidRDefault="00E23D01" w:rsidP="787C14B3">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787C14B3">
        <w:rPr>
          <w:rFonts w:ascii="Times New Roman" w:hAnsi="Times New Roman" w:cs="Times New Roman"/>
          <w:b/>
          <w:bCs/>
          <w:i/>
          <w:iCs/>
          <w:color w:val="333333"/>
          <w:sz w:val="24"/>
          <w:szCs w:val="24"/>
          <w:lang w:eastAsia="tr-TR"/>
        </w:rPr>
        <w:t>Başvuru Yeri</w:t>
      </w:r>
    </w:p>
    <w:p w:rsidR="00E23D01" w:rsidRDefault="00E23D01" w:rsidP="008C6716">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E23D01" w:rsidRPr="005B2EBA" w:rsidRDefault="00E23D01" w:rsidP="787C14B3">
      <w:pPr>
        <w:shd w:val="clear" w:color="auto" w:fill="FFFFFF"/>
        <w:spacing w:after="0" w:line="270" w:lineRule="atLeast"/>
        <w:ind w:left="120" w:right="240"/>
        <w:textAlignment w:val="baseline"/>
        <w:rPr>
          <w:rFonts w:ascii="Times New Roman" w:hAnsi="Times New Roman" w:cs="Times New Roman"/>
          <w:color w:val="333333"/>
          <w:sz w:val="24"/>
          <w:szCs w:val="24"/>
          <w:lang w:eastAsia="tr-TR"/>
        </w:rPr>
      </w:pPr>
      <w:hyperlink r:id="rId5">
        <w:r w:rsidRPr="787C14B3">
          <w:rPr>
            <w:rStyle w:val="Hyperlink"/>
            <w:rFonts w:ascii="Times New Roman" w:hAnsi="Times New Roman" w:cs="Times New Roman"/>
            <w:sz w:val="24"/>
            <w:szCs w:val="24"/>
            <w:lang w:eastAsia="tr-TR"/>
          </w:rPr>
          <w:t>http://erasmus.yalova.edu.tr</w:t>
        </w:r>
      </w:hyperlink>
      <w:r w:rsidRPr="787C14B3">
        <w:rPr>
          <w:rFonts w:ascii="Times New Roman" w:hAnsi="Times New Roman" w:cs="Times New Roman"/>
          <w:sz w:val="24"/>
          <w:szCs w:val="24"/>
          <w:lang w:eastAsia="tr-TR"/>
        </w:rPr>
        <w:t xml:space="preserve"> (Explorer Kullanılmalıdır)</w:t>
      </w:r>
    </w:p>
    <w:p w:rsidR="00E23D01" w:rsidRDefault="00E23D01" w:rsidP="787C14B3">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3F6B174F">
        <w:rPr>
          <w:rFonts w:ascii="Times New Roman" w:hAnsi="Times New Roman" w:cs="Times New Roman"/>
          <w:color w:val="333333"/>
          <w:sz w:val="24"/>
          <w:szCs w:val="24"/>
          <w:lang w:eastAsia="tr-TR"/>
        </w:rPr>
        <w:t>On-line başvuru yapan öğrenciler başvuru tarihleri arasında aşağıdaki belgeleri eksiksiz olarak Rektörlük /Dış İlişkiler Koordinatörlüğüne teslim etmelidirler. Aksi halde başvuruları dikkate alınmayacaktır. </w:t>
      </w:r>
    </w:p>
    <w:p w:rsidR="00E23D01" w:rsidRPr="005B2EBA" w:rsidRDefault="00E23D01"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E23D01" w:rsidRDefault="00E23D01" w:rsidP="787C14B3">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787C14B3">
        <w:rPr>
          <w:rFonts w:ascii="Times New Roman" w:hAnsi="Times New Roman" w:cs="Times New Roman"/>
          <w:color w:val="333333"/>
          <w:sz w:val="24"/>
          <w:szCs w:val="24"/>
          <w:lang w:eastAsia="tr-TR"/>
        </w:rPr>
        <w:t>Evrak teslimi aynı gün saat 17:00’a kadar tamamlanmalıdır.</w:t>
      </w:r>
    </w:p>
    <w:p w:rsidR="00E23D01" w:rsidRPr="000E3004" w:rsidRDefault="00E23D01"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u w:val="single"/>
          <w:lang w:eastAsia="tr-TR"/>
        </w:rPr>
      </w:pPr>
      <w:r>
        <w:rPr>
          <w:rFonts w:ascii="Times New Roman" w:hAnsi="Times New Roman" w:cs="Times New Roman"/>
          <w:color w:val="333333"/>
          <w:sz w:val="24"/>
          <w:szCs w:val="24"/>
          <w:u w:val="single"/>
          <w:lang w:eastAsia="tr-TR"/>
        </w:rPr>
        <w:t xml:space="preserve"> </w:t>
      </w:r>
    </w:p>
    <w:p w:rsidR="00E23D01" w:rsidRPr="00C71435" w:rsidRDefault="00E23D01" w:rsidP="00C71435">
      <w:pPr>
        <w:pStyle w:val="NormalWeb"/>
        <w:spacing w:before="0" w:beforeAutospacing="0" w:after="0" w:afterAutospacing="0" w:line="293" w:lineRule="atLeast"/>
        <w:jc w:val="both"/>
        <w:rPr>
          <w:color w:val="FF0000"/>
        </w:rPr>
      </w:pPr>
      <w:r w:rsidRPr="3F6B174F">
        <w:t xml:space="preserve">15 Mart 2016 17:00’dan sonra yapılan başvurular kesinlikle kabul edilmeyecektir. </w:t>
      </w:r>
      <w:r w:rsidRPr="3F6B174F">
        <w:rPr>
          <w:rStyle w:val="Strong"/>
          <w:color w:val="FF0000"/>
          <w:u w:val="single"/>
        </w:rPr>
        <w:t>Erasmus Öğrenim Hareketliliği için Ulusal Ajans tarafından Üniversitemize tahsis edilen bütçe belirlenene kadar, tüm başvuru sahipleri aday statüsündedir. Başvuru sahibi, seçilmiş olarak ilan edilse dahi yukarıdaki koşul sağlanıncaya değin adaydır.</w:t>
      </w:r>
    </w:p>
    <w:p w:rsidR="00E23D01" w:rsidRPr="005B2EBA" w:rsidRDefault="00E23D01" w:rsidP="00B8408F">
      <w:pPr>
        <w:spacing w:after="0" w:line="240" w:lineRule="auto"/>
        <w:jc w:val="both"/>
        <w:rPr>
          <w:rFonts w:ascii="Times New Roman" w:hAnsi="Times New Roman" w:cs="Times New Roman"/>
          <w:sz w:val="24"/>
          <w:szCs w:val="24"/>
          <w:lang w:eastAsia="tr-TR"/>
        </w:rPr>
      </w:pPr>
    </w:p>
    <w:p w:rsidR="00E23D01" w:rsidRPr="00D47D57" w:rsidRDefault="00E23D01" w:rsidP="787C14B3">
      <w:pPr>
        <w:shd w:val="clear" w:color="auto" w:fill="FFFFFF"/>
        <w:spacing w:after="0" w:line="270" w:lineRule="atLeast"/>
        <w:ind w:right="240"/>
        <w:jc w:val="both"/>
        <w:textAlignment w:val="baseline"/>
        <w:rPr>
          <w:rFonts w:ascii="Times New Roman" w:hAnsi="Times New Roman" w:cs="Times New Roman"/>
          <w:b/>
          <w:bCs/>
          <w:i/>
          <w:iCs/>
          <w:color w:val="333333"/>
          <w:sz w:val="24"/>
          <w:szCs w:val="24"/>
          <w:lang w:eastAsia="tr-TR"/>
        </w:rPr>
      </w:pPr>
      <w:r w:rsidRPr="787C14B3">
        <w:rPr>
          <w:rFonts w:ascii="Times New Roman" w:hAnsi="Times New Roman" w:cs="Times New Roman"/>
          <w:b/>
          <w:bCs/>
          <w:i/>
          <w:iCs/>
          <w:color w:val="333333"/>
          <w:sz w:val="24"/>
          <w:szCs w:val="24"/>
          <w:lang w:eastAsia="tr-TR"/>
        </w:rPr>
        <w:t>Başvuru belgeleri</w:t>
      </w:r>
    </w:p>
    <w:p w:rsidR="00E23D01" w:rsidRPr="005B2EBA" w:rsidRDefault="00E23D01" w:rsidP="00B8408F">
      <w:pPr>
        <w:shd w:val="clear" w:color="auto" w:fill="FFFFFF"/>
        <w:spacing w:after="0" w:line="270" w:lineRule="atLeast"/>
        <w:ind w:right="240"/>
        <w:jc w:val="both"/>
        <w:textAlignment w:val="baseline"/>
        <w:rPr>
          <w:rFonts w:ascii="Times New Roman" w:hAnsi="Times New Roman" w:cs="Times New Roman"/>
          <w:color w:val="333333"/>
          <w:sz w:val="24"/>
          <w:szCs w:val="24"/>
          <w:lang w:eastAsia="tr-TR"/>
        </w:rPr>
      </w:pPr>
    </w:p>
    <w:p w:rsidR="00E23D01" w:rsidRPr="00C743AE" w:rsidRDefault="00E23D01" w:rsidP="787C14B3">
      <w:pPr>
        <w:numPr>
          <w:ilvl w:val="0"/>
          <w:numId w:val="1"/>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787C14B3">
        <w:rPr>
          <w:rFonts w:ascii="Times New Roman" w:hAnsi="Times New Roman" w:cs="Times New Roman"/>
          <w:sz w:val="24"/>
          <w:szCs w:val="24"/>
          <w:lang w:eastAsia="tr-TR"/>
        </w:rPr>
        <w:t>Fotoğraf yapıştırılmış, imzalı başvuru formu (internetten doldurulup çıktısı alınmış)</w:t>
      </w:r>
    </w:p>
    <w:p w:rsidR="00E23D01" w:rsidRPr="00C743AE" w:rsidRDefault="00E23D01" w:rsidP="787C14B3">
      <w:pPr>
        <w:numPr>
          <w:ilvl w:val="0"/>
          <w:numId w:val="1"/>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787C14B3">
        <w:rPr>
          <w:rFonts w:ascii="Times New Roman" w:hAnsi="Times New Roman" w:cs="Times New Roman"/>
          <w:sz w:val="24"/>
          <w:szCs w:val="24"/>
          <w:lang w:eastAsia="tr-TR"/>
        </w:rPr>
        <w:t>1 adet transkript (2015-2016 güz dönemi notlarını da kapsayan GANO)</w:t>
      </w:r>
    </w:p>
    <w:p w:rsidR="00E23D01" w:rsidRDefault="00E23D01" w:rsidP="787C14B3">
      <w:pPr>
        <w:numPr>
          <w:ilvl w:val="0"/>
          <w:numId w:val="1"/>
        </w:numPr>
        <w:shd w:val="clear" w:color="auto" w:fill="FFFFFF"/>
        <w:spacing w:after="0" w:line="270" w:lineRule="atLeast"/>
        <w:ind w:left="48" w:right="48"/>
        <w:jc w:val="both"/>
        <w:rPr>
          <w:rFonts w:ascii="Times New Roman" w:hAnsi="Times New Roman" w:cs="Times New Roman"/>
          <w:sz w:val="24"/>
          <w:szCs w:val="24"/>
        </w:rPr>
      </w:pPr>
      <w:r w:rsidRPr="787C14B3">
        <w:rPr>
          <w:rFonts w:ascii="Times New Roman" w:hAnsi="Times New Roman" w:cs="Times New Roman"/>
          <w:sz w:val="24"/>
          <w:szCs w:val="24"/>
        </w:rPr>
        <w:t>Taahhütname</w:t>
      </w:r>
    </w:p>
    <w:p w:rsidR="00E23D01" w:rsidRPr="00C743AE" w:rsidRDefault="00E23D01" w:rsidP="787C14B3">
      <w:pPr>
        <w:numPr>
          <w:ilvl w:val="0"/>
          <w:numId w:val="1"/>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787C14B3">
        <w:rPr>
          <w:rFonts w:ascii="Times New Roman" w:hAnsi="Times New Roman" w:cs="Times New Roman"/>
          <w:sz w:val="24"/>
          <w:szCs w:val="24"/>
          <w:u w:val="single"/>
          <w:lang w:eastAsia="tr-TR"/>
        </w:rPr>
        <w:t>Yalova Üniversitesi Yabancı Diller Yüksek Okulu (YDYO) tarafından yapılacak yabancı dil sınavına girmeyecek adaylar için</w:t>
      </w:r>
      <w:r w:rsidRPr="787C14B3">
        <w:rPr>
          <w:rFonts w:ascii="Times New Roman" w:hAnsi="Times New Roman" w:cs="Times New Roman"/>
          <w:sz w:val="24"/>
          <w:szCs w:val="24"/>
          <w:lang w:eastAsia="tr-TR"/>
        </w:rPr>
        <w:t xml:space="preserve"> YDS, KPDS, ÜDS belgesi veya Yükseköğretim Kurumu’nun tanıdığı eşdeğer dil belgeleri</w:t>
      </w:r>
    </w:p>
    <w:p w:rsidR="00E23D01" w:rsidRDefault="00E23D01" w:rsidP="787C14B3">
      <w:pPr>
        <w:shd w:val="clear" w:color="auto" w:fill="FFFFFF"/>
        <w:spacing w:after="0" w:line="270" w:lineRule="atLeast"/>
        <w:ind w:left="48" w:right="48"/>
        <w:jc w:val="both"/>
        <w:textAlignment w:val="baseline"/>
        <w:rPr>
          <w:b/>
          <w:bCs/>
          <w:color w:val="FF0000"/>
        </w:rPr>
      </w:pPr>
      <w:r w:rsidRPr="3F6B174F">
        <w:rPr>
          <w:rFonts w:ascii="Times New Roman" w:hAnsi="Times New Roman" w:cs="Times New Roman"/>
          <w:sz w:val="24"/>
          <w:szCs w:val="24"/>
          <w:lang w:eastAsia="tr-TR"/>
        </w:rPr>
        <w:t>(Geçerli yabancı dil belgesi olmayan adaylar YDYO'nun yapacağı dil sınavına katılmak zorundadırlar.)</w:t>
      </w:r>
    </w:p>
    <w:p w:rsidR="00E23D01" w:rsidRDefault="00E23D01" w:rsidP="787C14B3">
      <w:pPr>
        <w:shd w:val="clear" w:color="auto" w:fill="FFFFFF"/>
        <w:spacing w:after="0" w:line="270" w:lineRule="atLeast"/>
        <w:ind w:left="48" w:right="48"/>
        <w:jc w:val="both"/>
      </w:pPr>
    </w:p>
    <w:p w:rsidR="00E23D01" w:rsidRPr="00C71435" w:rsidRDefault="00E23D01" w:rsidP="00C71435">
      <w:p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787C14B3">
        <w:rPr>
          <w:b/>
          <w:bCs/>
          <w:color w:val="FF0000"/>
        </w:rPr>
        <w:t>NOT: Hem öğrenim hem de staj faaliyetine başvuracak öğrenciler iki ayrı başvuru formu getirmelidirler</w:t>
      </w:r>
      <w:r>
        <w:rPr>
          <w:rFonts w:ascii="Times New Roman" w:hAnsi="Times New Roman" w:cs="Times New Roman"/>
          <w:sz w:val="24"/>
          <w:szCs w:val="24"/>
          <w:lang w:eastAsia="tr-TR"/>
        </w:rPr>
        <w:t>.</w:t>
      </w:r>
    </w:p>
    <w:p w:rsidR="00E23D01" w:rsidRPr="00825DC2" w:rsidRDefault="00E23D01" w:rsidP="00825DC2">
      <w:pPr>
        <w:shd w:val="clear" w:color="auto" w:fill="FFFFFF"/>
        <w:spacing w:after="0" w:line="270" w:lineRule="atLeast"/>
        <w:ind w:left="48" w:right="48"/>
        <w:jc w:val="both"/>
        <w:textAlignment w:val="baseline"/>
        <w:rPr>
          <w:rFonts w:ascii="Times New Roman" w:hAnsi="Times New Roman" w:cs="Times New Roman"/>
          <w:b/>
          <w:bCs/>
          <w:color w:val="0000FF"/>
          <w:sz w:val="24"/>
          <w:szCs w:val="24"/>
          <w:lang w:eastAsia="tr-TR"/>
        </w:rPr>
      </w:pPr>
    </w:p>
    <w:p w:rsidR="00E23D01" w:rsidRPr="008E1627" w:rsidRDefault="00E23D01" w:rsidP="787C14B3">
      <w:pPr>
        <w:shd w:val="clear" w:color="auto" w:fill="FFFFFF"/>
        <w:spacing w:after="0" w:line="270" w:lineRule="atLeast"/>
        <w:ind w:right="240" w:firstLine="120"/>
        <w:jc w:val="both"/>
        <w:textAlignment w:val="baseline"/>
        <w:rPr>
          <w:rFonts w:ascii="Times New Roman" w:hAnsi="Times New Roman" w:cs="Times New Roman"/>
          <w:i/>
          <w:iCs/>
          <w:color w:val="333333"/>
          <w:sz w:val="24"/>
          <w:szCs w:val="24"/>
          <w:lang w:eastAsia="tr-TR"/>
        </w:rPr>
      </w:pPr>
      <w:r w:rsidRPr="787C14B3">
        <w:rPr>
          <w:rFonts w:ascii="Times New Roman" w:hAnsi="Times New Roman" w:cs="Times New Roman"/>
          <w:b/>
          <w:bCs/>
          <w:i/>
          <w:iCs/>
          <w:color w:val="333333"/>
          <w:sz w:val="24"/>
          <w:szCs w:val="24"/>
          <w:lang w:eastAsia="tr-TR"/>
        </w:rPr>
        <w:t>Başvuru Koşulları</w:t>
      </w:r>
    </w:p>
    <w:p w:rsidR="00E23D01" w:rsidRDefault="00E23D01" w:rsidP="787C14B3">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E23D01" w:rsidRDefault="00E23D01" w:rsidP="787C14B3">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3F6B174F">
        <w:rPr>
          <w:rFonts w:ascii="Times New Roman" w:hAnsi="Times New Roman" w:cs="Times New Roman"/>
          <w:color w:val="333333"/>
          <w:sz w:val="24"/>
          <w:szCs w:val="24"/>
          <w:lang w:eastAsia="tr-TR"/>
        </w:rPr>
        <w:t xml:space="preserve">Erasmus Öğrenim Hareketliliği’nden yararlanabilmeniz için bölümünüzün AB üyesi bir ülkede yer alan, Erasmus Üniversite Beyannamesi sahibi bir yükseköğretim kurumundaki ilgili bölüm ile </w:t>
      </w:r>
    </w:p>
    <w:p w:rsidR="00E23D01" w:rsidRDefault="00E23D01" w:rsidP="787C14B3">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E23D01" w:rsidRPr="003B383F" w:rsidRDefault="00E23D01" w:rsidP="787C14B3">
      <w:pPr>
        <w:shd w:val="clear" w:color="auto" w:fill="FFFFFF"/>
        <w:spacing w:after="0" w:line="270" w:lineRule="atLeast"/>
        <w:ind w:left="120" w:right="240"/>
        <w:jc w:val="both"/>
        <w:textAlignment w:val="baseline"/>
        <w:rPr>
          <w:rFonts w:ascii="Times New Roman" w:hAnsi="Times New Roman" w:cs="Times New Roman"/>
          <w:color w:val="0000FF"/>
          <w:sz w:val="24"/>
          <w:szCs w:val="24"/>
          <w:lang w:eastAsia="tr-TR"/>
        </w:rPr>
      </w:pPr>
      <w:r w:rsidRPr="3F6B174F">
        <w:rPr>
          <w:rFonts w:ascii="Times New Roman" w:hAnsi="Times New Roman" w:cs="Times New Roman"/>
          <w:color w:val="333333"/>
          <w:sz w:val="24"/>
          <w:szCs w:val="24"/>
          <w:lang w:eastAsia="tr-TR"/>
        </w:rPr>
        <w:t>Erasmus İkili Anlaşması olması gerekir</w:t>
      </w:r>
      <w:r>
        <w:rPr>
          <w:rFonts w:ascii="Times New Roman" w:hAnsi="Times New Roman" w:cs="Times New Roman"/>
          <w:color w:val="333333"/>
          <w:sz w:val="24"/>
          <w:szCs w:val="24"/>
          <w:lang w:eastAsia="tr-TR"/>
        </w:rPr>
        <w:t xml:space="preserve">. </w:t>
      </w:r>
      <w:r w:rsidRPr="3F6B174F">
        <w:rPr>
          <w:rFonts w:ascii="Times New Roman" w:hAnsi="Times New Roman" w:cs="Times New Roman"/>
          <w:color w:val="0000FF"/>
          <w:sz w:val="24"/>
          <w:szCs w:val="24"/>
          <w:lang w:eastAsia="tr-TR"/>
        </w:rPr>
        <w:t xml:space="preserve">(2016-2017 akademik yılı Erasmus İkili Anlaşma verileri için lütfen bkz.) </w:t>
      </w:r>
    </w:p>
    <w:p w:rsidR="00E23D01" w:rsidRPr="00031B41" w:rsidRDefault="00E23D01" w:rsidP="00976E87">
      <w:pPr>
        <w:shd w:val="clear" w:color="auto" w:fill="FFFFFF"/>
        <w:spacing w:after="0" w:line="270" w:lineRule="atLeast"/>
        <w:ind w:left="120" w:right="240"/>
        <w:jc w:val="both"/>
        <w:textAlignment w:val="baseline"/>
        <w:rPr>
          <w:rFonts w:ascii="Times New Roman" w:hAnsi="Times New Roman" w:cs="Times New Roman"/>
          <w:b/>
          <w:bCs/>
          <w:color w:val="0000FF"/>
          <w:sz w:val="24"/>
          <w:szCs w:val="24"/>
          <w:lang w:eastAsia="tr-TR"/>
        </w:rPr>
      </w:pPr>
      <w:hyperlink r:id="rId6" w:history="1">
        <w:r w:rsidRPr="00031B41">
          <w:rPr>
            <w:rStyle w:val="Hyperlink"/>
            <w:b/>
            <w:bCs/>
          </w:rPr>
          <w:t>http://erasmus.yalova.edu.tr/ikilianlasmalar.asp</w:t>
        </w:r>
      </w:hyperlink>
      <w:r w:rsidRPr="00031B41">
        <w:rPr>
          <w:b/>
          <w:bCs/>
          <w:color w:val="0000FF"/>
        </w:rPr>
        <w:t xml:space="preserve"> </w:t>
      </w:r>
      <w:r w:rsidRPr="00031B41">
        <w:rPr>
          <w:rFonts w:ascii="Times New Roman" w:hAnsi="Times New Roman" w:cs="Times New Roman"/>
          <w:b/>
          <w:bCs/>
          <w:color w:val="0000FF"/>
          <w:sz w:val="24"/>
          <w:szCs w:val="24"/>
          <w:lang w:eastAsia="tr-TR"/>
        </w:rPr>
        <w:t xml:space="preserve"> </w:t>
      </w:r>
    </w:p>
    <w:p w:rsidR="00E23D01" w:rsidRDefault="00E23D01" w:rsidP="00976E87">
      <w:pPr>
        <w:shd w:val="clear" w:color="auto" w:fill="FFFFFF"/>
        <w:spacing w:after="0" w:line="270" w:lineRule="atLeast"/>
        <w:ind w:right="240"/>
        <w:jc w:val="center"/>
        <w:textAlignment w:val="baseline"/>
        <w:rPr>
          <w:rFonts w:ascii="Times New Roman" w:hAnsi="Times New Roman" w:cs="Times New Roman"/>
          <w:b/>
          <w:bCs/>
          <w:color w:val="333333"/>
          <w:sz w:val="48"/>
          <w:szCs w:val="48"/>
          <w:lang w:eastAsia="tr-TR"/>
        </w:rPr>
      </w:pPr>
    </w:p>
    <w:p w:rsidR="00E23D01" w:rsidRDefault="00E23D01" w:rsidP="00031B41">
      <w:pPr>
        <w:shd w:val="clear" w:color="auto" w:fill="FFFFFF"/>
        <w:spacing w:after="0" w:line="270" w:lineRule="atLeast"/>
        <w:ind w:right="240"/>
        <w:jc w:val="center"/>
        <w:textAlignment w:val="baseline"/>
        <w:rPr>
          <w:rFonts w:ascii="Times New Roman" w:hAnsi="Times New Roman" w:cs="Times New Roman"/>
          <w:b/>
          <w:bCs/>
          <w:sz w:val="24"/>
          <w:szCs w:val="24"/>
          <w:lang w:eastAsia="tr-TR"/>
        </w:rPr>
      </w:pPr>
      <w:r>
        <w:rPr>
          <w:rFonts w:ascii="Times New Roman" w:hAnsi="Times New Roman" w:cs="Times New Roman"/>
          <w:b/>
          <w:bCs/>
          <w:color w:val="333333"/>
          <w:sz w:val="48"/>
          <w:szCs w:val="48"/>
          <w:lang w:eastAsia="tr-TR"/>
        </w:rPr>
        <w:t>ÖĞRENİM HAREKETLİLİĞİ</w:t>
      </w:r>
    </w:p>
    <w:p w:rsidR="00E23D01" w:rsidRPr="003B383F" w:rsidRDefault="00E23D01" w:rsidP="00976E87">
      <w:pPr>
        <w:shd w:val="clear" w:color="auto" w:fill="FFFFFF"/>
        <w:spacing w:after="0" w:line="270" w:lineRule="atLeast"/>
        <w:ind w:right="240"/>
        <w:jc w:val="center"/>
        <w:textAlignment w:val="baseline"/>
        <w:rPr>
          <w:rFonts w:ascii="Times New Roman" w:hAnsi="Times New Roman" w:cs="Times New Roman"/>
          <w:b/>
          <w:bCs/>
          <w:sz w:val="24"/>
          <w:szCs w:val="24"/>
          <w:lang w:eastAsia="tr-TR"/>
        </w:rPr>
      </w:pPr>
      <w:r>
        <w:rPr>
          <w:rFonts w:ascii="Times New Roman" w:hAnsi="Times New Roman" w:cs="Times New Roman"/>
          <w:b/>
          <w:bCs/>
          <w:sz w:val="24"/>
          <w:szCs w:val="24"/>
          <w:lang w:eastAsia="tr-TR"/>
        </w:rPr>
        <w:t>2016</w:t>
      </w:r>
      <w:r w:rsidRPr="3F6B174F">
        <w:rPr>
          <w:rFonts w:ascii="Times New Roman" w:hAnsi="Times New Roman" w:cs="Times New Roman"/>
          <w:b/>
          <w:bCs/>
          <w:sz w:val="24"/>
          <w:szCs w:val="24"/>
          <w:lang w:eastAsia="tr-TR"/>
        </w:rPr>
        <w:t xml:space="preserve">-2017 akademik yılında "Erasmus Öğrenim ve Staj Hareketliliği" başvuruları değerlendirirken kullanılacak değerlendirme ölçütleri ve ağırlıklı puanlar şunlardır: </w:t>
      </w:r>
    </w:p>
    <w:p w:rsidR="00E23D01" w:rsidRPr="005B2EBA" w:rsidRDefault="00E23D01" w:rsidP="787C14B3">
      <w:pPr>
        <w:shd w:val="clear" w:color="auto" w:fill="FFFFFF"/>
        <w:spacing w:after="0" w:line="270" w:lineRule="atLeast"/>
        <w:ind w:left="-312" w:right="48" w:firstLine="1020"/>
        <w:jc w:val="both"/>
        <w:textAlignment w:val="baseline"/>
        <w:rPr>
          <w:rFonts w:ascii="Times New Roman" w:hAnsi="Times New Roman" w:cs="Times New Roman"/>
          <w:color w:val="333333"/>
          <w:sz w:val="24"/>
          <w:szCs w:val="24"/>
          <w:lang w:eastAsia="tr-TR"/>
        </w:rPr>
      </w:pPr>
      <w:r w:rsidRPr="3F6B174F">
        <w:rPr>
          <w:rFonts w:ascii="Times New Roman" w:hAnsi="Times New Roman" w:cs="Times New Roman"/>
          <w:sz w:val="24"/>
          <w:szCs w:val="24"/>
          <w:lang w:eastAsia="tr-TR"/>
        </w:rPr>
        <w:t>2016-2017 akademik yılı Erasmus Uygulama El Kitabı değerlendirme ölçütleri kullanılacaktır. Ulusal Ajans’ın yapabileceği herhangi bir değişiklikte Erasmus Ofisimiz web sitesinde gerekli</w:t>
      </w:r>
      <w:r w:rsidRPr="3F6B174F">
        <w:rPr>
          <w:rFonts w:ascii="Times New Roman" w:hAnsi="Times New Roman" w:cs="Times New Roman"/>
          <w:color w:val="333333"/>
          <w:sz w:val="24"/>
          <w:szCs w:val="24"/>
          <w:lang w:eastAsia="tr-TR"/>
        </w:rPr>
        <w:t xml:space="preserve"> değişiklikleri yayınlayacaktır.</w:t>
      </w:r>
    </w:p>
    <w:p w:rsidR="00E23D01" w:rsidRPr="005B2EBA" w:rsidRDefault="00E23D01" w:rsidP="00BA085E">
      <w:pPr>
        <w:spacing w:after="0" w:line="240" w:lineRule="auto"/>
        <w:jc w:val="both"/>
        <w:rPr>
          <w:rFonts w:ascii="Times New Roman" w:hAnsi="Times New Roman" w:cs="Times New Roman"/>
          <w:sz w:val="24"/>
          <w:szCs w:val="24"/>
          <w:lang w:eastAsia="tr-TR"/>
        </w:rPr>
      </w:pPr>
    </w:p>
    <w:p w:rsidR="00E23D01" w:rsidRPr="003443A6" w:rsidRDefault="00E23D01" w:rsidP="787C14B3">
      <w:pPr>
        <w:numPr>
          <w:ilvl w:val="0"/>
          <w:numId w:val="2"/>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787C14B3">
        <w:rPr>
          <w:rFonts w:ascii="Times New Roman" w:hAnsi="Times New Roman" w:cs="Times New Roman"/>
          <w:sz w:val="24"/>
          <w:szCs w:val="24"/>
          <w:lang w:eastAsia="tr-TR"/>
        </w:rPr>
        <w:t xml:space="preserve">Akademik başarı düzeyi        : </w:t>
      </w:r>
      <w:r w:rsidRPr="787C14B3">
        <w:rPr>
          <w:rFonts w:ascii="Times New Roman" w:hAnsi="Times New Roman" w:cs="Times New Roman"/>
          <w:b/>
          <w:bCs/>
          <w:sz w:val="24"/>
          <w:szCs w:val="24"/>
          <w:lang w:eastAsia="tr-TR"/>
        </w:rPr>
        <w:t>%50</w:t>
      </w:r>
    </w:p>
    <w:p w:rsidR="00E23D01" w:rsidRPr="00885A70" w:rsidRDefault="00E23D01" w:rsidP="787C14B3">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r w:rsidRPr="787C14B3">
        <w:rPr>
          <w:rFonts w:ascii="Times New Roman" w:hAnsi="Times New Roman" w:cs="Times New Roman"/>
          <w:sz w:val="24"/>
          <w:szCs w:val="24"/>
          <w:lang w:eastAsia="tr-TR"/>
        </w:rPr>
        <w:t>Yabancı dil seviyesi   :</w:t>
      </w:r>
      <w:r w:rsidRPr="787C14B3">
        <w:rPr>
          <w:rFonts w:ascii="Times New Roman" w:hAnsi="Times New Roman" w:cs="Times New Roman"/>
          <w:b/>
          <w:bCs/>
          <w:sz w:val="24"/>
          <w:szCs w:val="24"/>
          <w:lang w:eastAsia="tr-TR"/>
        </w:rPr>
        <w:t>%50</w:t>
      </w:r>
      <w:r w:rsidRPr="787C14B3">
        <w:rPr>
          <w:rFonts w:ascii="Times New Roman" w:hAnsi="Times New Roman" w:cs="Times New Roman"/>
          <w:sz w:val="24"/>
          <w:szCs w:val="24"/>
          <w:lang w:eastAsia="tr-TR"/>
        </w:rPr>
        <w:t xml:space="preserve"> ( Sınav test olarak uygulanacaktır.)</w:t>
      </w:r>
    </w:p>
    <w:p w:rsidR="00E23D01" w:rsidRPr="00885A70" w:rsidRDefault="00E23D01" w:rsidP="787C14B3">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r w:rsidRPr="3F6B174F">
        <w:rPr>
          <w:rFonts w:ascii="Times New Roman" w:hAnsi="Times New Roman" w:cs="Times New Roman"/>
          <w:sz w:val="24"/>
          <w:szCs w:val="24"/>
          <w:lang w:eastAsia="tr-TR"/>
        </w:rPr>
        <w:t xml:space="preserve">2015-2016 Akademik yılında Erasmus Yabancı Dil sınavına giren öğrencilerin Dil puanları </w:t>
      </w:r>
      <w:r w:rsidRPr="3F6B174F">
        <w:rPr>
          <w:rFonts w:ascii="Times New Roman" w:hAnsi="Times New Roman" w:cs="Times New Roman"/>
          <w:i/>
          <w:iCs/>
          <w:sz w:val="24"/>
          <w:szCs w:val="24"/>
          <w:lang w:eastAsia="tr-TR"/>
        </w:rPr>
        <w:t>adayların istemesi</w:t>
      </w:r>
      <w:r w:rsidRPr="3F6B174F">
        <w:rPr>
          <w:rFonts w:ascii="Times New Roman" w:hAnsi="Times New Roman" w:cs="Times New Roman"/>
          <w:sz w:val="24"/>
          <w:szCs w:val="24"/>
          <w:lang w:eastAsia="tr-TR"/>
        </w:rPr>
        <w:t xml:space="preserve"> halinde bu sene de geçerli sayılacaktır.</w:t>
      </w:r>
    </w:p>
    <w:p w:rsidR="00E23D01" w:rsidRPr="003D13AB" w:rsidRDefault="00E23D01" w:rsidP="787C14B3">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r w:rsidRPr="787C14B3">
        <w:rPr>
          <w:rFonts w:ascii="Times New Roman" w:hAnsi="Times New Roman" w:cs="Times New Roman"/>
          <w:sz w:val="24"/>
          <w:szCs w:val="24"/>
          <w:lang w:eastAsia="tr-TR"/>
        </w:rPr>
        <w:t>İngilizce dışında eğitim dili veren okulları tercih eden ve orada eğitim almak isteyen öğrencilerin başvuruda B1 Dil belgelerini teslim etmeleri zorunludur.</w:t>
      </w:r>
    </w:p>
    <w:p w:rsidR="00E23D01" w:rsidRDefault="00E23D01" w:rsidP="3F6B174F">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 xml:space="preserve">Erasmus öğrencisi seçilebilmek için gerekli olan genel not ortalaması önlisans ve lisans öğrencileri için </w:t>
      </w:r>
      <w:r w:rsidRPr="3F6B174F">
        <w:rPr>
          <w:rFonts w:ascii="Times New Roman" w:hAnsi="Times New Roman" w:cs="Times New Roman"/>
          <w:b/>
          <w:bCs/>
          <w:sz w:val="24"/>
          <w:szCs w:val="24"/>
          <w:lang w:eastAsia="tr-TR"/>
        </w:rPr>
        <w:t>2.20/4.00</w:t>
      </w:r>
      <w:r w:rsidRPr="3F6B174F">
        <w:rPr>
          <w:rFonts w:ascii="Times New Roman" w:hAnsi="Times New Roman" w:cs="Times New Roman"/>
          <w:sz w:val="24"/>
          <w:szCs w:val="24"/>
          <w:lang w:eastAsia="tr-TR"/>
        </w:rPr>
        <w:t xml:space="preserve">, yüksek lisans ve doktora öğrencileri için </w:t>
      </w:r>
      <w:r w:rsidRPr="3F6B174F">
        <w:rPr>
          <w:rFonts w:ascii="Times New Roman" w:hAnsi="Times New Roman" w:cs="Times New Roman"/>
          <w:b/>
          <w:bCs/>
          <w:sz w:val="24"/>
          <w:szCs w:val="24"/>
          <w:lang w:eastAsia="tr-TR"/>
        </w:rPr>
        <w:t>2.50/4.00</w:t>
      </w:r>
      <w:r w:rsidRPr="3F6B174F">
        <w:rPr>
          <w:rFonts w:ascii="Times New Roman" w:hAnsi="Times New Roman" w:cs="Times New Roman"/>
          <w:sz w:val="24"/>
          <w:szCs w:val="24"/>
          <w:lang w:eastAsia="tr-TR"/>
        </w:rPr>
        <w:t xml:space="preserve">. Yüksek lisansı ilk yılında olup GANO’su olmayan öğrenciler lisans GANO’su ile başvurabilirler ancak </w:t>
      </w:r>
      <w:r w:rsidRPr="3F6B174F">
        <w:rPr>
          <w:rFonts w:ascii="Times New Roman" w:hAnsi="Times New Roman" w:cs="Times New Roman"/>
          <w:b/>
          <w:bCs/>
          <w:sz w:val="24"/>
          <w:szCs w:val="24"/>
          <w:lang w:eastAsia="tr-TR"/>
        </w:rPr>
        <w:t>2.50/4.00</w:t>
      </w:r>
      <w:r w:rsidRPr="3F6B174F">
        <w:rPr>
          <w:rFonts w:ascii="Times New Roman" w:hAnsi="Times New Roman" w:cs="Times New Roman"/>
          <w:sz w:val="24"/>
          <w:szCs w:val="24"/>
          <w:lang w:eastAsia="tr-TR"/>
        </w:rPr>
        <w:t xml:space="preserve"> şartına tabidirler. Bu ortalamanın altında olan başvurular sıralamaya dahil edilmeyecektir.</w:t>
      </w:r>
      <w:r w:rsidRPr="3F6B174F">
        <w:rPr>
          <w:rFonts w:ascii="Times New Roman" w:hAnsi="Times New Roman" w:cs="Times New Roman"/>
          <w:color w:val="333333"/>
          <w:sz w:val="24"/>
          <w:szCs w:val="24"/>
          <w:lang w:eastAsia="tr-TR"/>
        </w:rPr>
        <w:t xml:space="preserve"> Sözü edilen minimum ortalamalar elde ediliyorsa, </w:t>
      </w:r>
      <w:r w:rsidRPr="3F6B174F">
        <w:rPr>
          <w:rFonts w:ascii="Times New Roman" w:hAnsi="Times New Roman" w:cs="Times New Roman"/>
          <w:color w:val="333333"/>
          <w:sz w:val="24"/>
          <w:szCs w:val="24"/>
          <w:u w:val="single"/>
          <w:lang w:eastAsia="tr-TR"/>
        </w:rPr>
        <w:t>alttan dersin bulunması</w:t>
      </w:r>
      <w:r w:rsidRPr="3F6B174F">
        <w:rPr>
          <w:rFonts w:ascii="Times New Roman" w:hAnsi="Times New Roman" w:cs="Times New Roman"/>
          <w:color w:val="333333"/>
          <w:sz w:val="24"/>
          <w:szCs w:val="24"/>
          <w:lang w:eastAsia="tr-TR"/>
        </w:rPr>
        <w:t xml:space="preserve"> öğrencinin Erasmus'a başvurması için </w:t>
      </w:r>
      <w:r w:rsidRPr="3F6B174F">
        <w:rPr>
          <w:rFonts w:ascii="Times New Roman" w:hAnsi="Times New Roman" w:cs="Times New Roman"/>
          <w:color w:val="333333"/>
          <w:sz w:val="24"/>
          <w:szCs w:val="24"/>
          <w:u w:val="single"/>
          <w:lang w:eastAsia="tr-TR"/>
        </w:rPr>
        <w:t>engel değildir</w:t>
      </w:r>
      <w:r w:rsidRPr="3F6B174F">
        <w:rPr>
          <w:rFonts w:ascii="Times New Roman" w:hAnsi="Times New Roman" w:cs="Times New Roman"/>
          <w:color w:val="333333"/>
          <w:sz w:val="24"/>
          <w:szCs w:val="24"/>
          <w:lang w:eastAsia="tr-TR"/>
        </w:rPr>
        <w:t>.</w:t>
      </w:r>
    </w:p>
    <w:p w:rsidR="00E23D01" w:rsidRPr="003B383F" w:rsidRDefault="00E23D01" w:rsidP="787C14B3">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Erasmus+ Erasmus Öğrenim Hareketliliğine daha önce HEI/Erasmus+ Faaliyetini aynı veya bir önceki öğrenim seviyesinde gerçekleştirenler de başvurabilir.</w:t>
      </w:r>
    </w:p>
    <w:p w:rsidR="00E23D01" w:rsidRDefault="00E23D01" w:rsidP="787C14B3">
      <w:pPr>
        <w:numPr>
          <w:ilvl w:val="0"/>
          <w:numId w:val="3"/>
        </w:numPr>
        <w:shd w:val="clear" w:color="auto" w:fill="FFFFFF"/>
        <w:spacing w:after="0" w:line="270" w:lineRule="atLeast"/>
        <w:ind w:left="48" w:right="48"/>
        <w:jc w:val="both"/>
        <w:rPr>
          <w:rFonts w:ascii="Times New Roman" w:hAnsi="Times New Roman" w:cs="Times New Roman"/>
          <w:sz w:val="24"/>
          <w:szCs w:val="24"/>
        </w:rPr>
      </w:pPr>
      <w:r w:rsidRPr="3F6B174F">
        <w:rPr>
          <w:rFonts w:ascii="Times New Roman" w:hAnsi="Times New Roman" w:cs="Times New Roman"/>
          <w:sz w:val="24"/>
          <w:szCs w:val="24"/>
        </w:rPr>
        <w:t xml:space="preserve">Yükseköğretim kurumunun öğrenim ve staj hareketliliği seçimlerini aynı başvuru ve değerlendirme süreci içerisinde gerçekleştirmesi halinde, hem öğrenim, hem staj faaliyetine aynı zamanda başvuran bir öğrencinin her iki faaliyete de seçilmiş olması durumunda, </w:t>
      </w:r>
      <w:r w:rsidRPr="3F6B174F">
        <w:rPr>
          <w:rFonts w:ascii="Times New Roman" w:hAnsi="Times New Roman" w:cs="Times New Roman"/>
          <w:b/>
          <w:bCs/>
          <w:sz w:val="24"/>
          <w:szCs w:val="24"/>
        </w:rPr>
        <w:t>-10 puanın</w:t>
      </w:r>
      <w:r w:rsidRPr="3F6B174F">
        <w:rPr>
          <w:rFonts w:ascii="Times New Roman" w:hAnsi="Times New Roman" w:cs="Times New Roman"/>
          <w:sz w:val="24"/>
          <w:szCs w:val="24"/>
        </w:rPr>
        <w:t xml:space="preserve"> hangi faaliyette uygulanacağı öğrencinin tercihine bırakılır. Bu durumda öğrenciden hangi faaliyette azaltma uygulanmasını tercih ettiğine yönelik bir dilekçe alınacaktır.</w:t>
      </w:r>
    </w:p>
    <w:p w:rsidR="00E23D01" w:rsidRPr="003B383F" w:rsidRDefault="00E23D01" w:rsidP="787C14B3">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rPr>
        <w:t>Bir öğrenci Erasmus öğrenim faaliyetinden</w:t>
      </w:r>
      <w:r w:rsidRPr="3F6B174F">
        <w:rPr>
          <w:rFonts w:ascii="Times New Roman" w:hAnsi="Times New Roman" w:cs="Times New Roman"/>
          <w:b/>
          <w:bCs/>
          <w:sz w:val="24"/>
          <w:szCs w:val="24"/>
        </w:rPr>
        <w:t>,</w:t>
      </w:r>
      <w:r w:rsidRPr="3F6B174F">
        <w:rPr>
          <w:rStyle w:val="apple-converted-space"/>
          <w:rFonts w:ascii="Times New Roman" w:hAnsi="Times New Roman" w:cs="Times New Roman"/>
          <w:b/>
          <w:bCs/>
          <w:sz w:val="24"/>
          <w:szCs w:val="24"/>
        </w:rPr>
        <w:t> </w:t>
      </w:r>
      <w:r w:rsidRPr="3F6B174F">
        <w:rPr>
          <w:rStyle w:val="Strong"/>
          <w:rFonts w:ascii="Times New Roman" w:hAnsi="Times New Roman" w:cs="Times New Roman"/>
          <w:b w:val="0"/>
          <w:bCs w:val="0"/>
          <w:sz w:val="24"/>
          <w:szCs w:val="24"/>
        </w:rPr>
        <w:t>aynı öğrenim kademesi içinde</w:t>
      </w:r>
      <w:r w:rsidRPr="3F6B174F">
        <w:rPr>
          <w:rStyle w:val="apple-converted-space"/>
          <w:rFonts w:ascii="Times New Roman" w:hAnsi="Times New Roman" w:cs="Times New Roman"/>
          <w:b/>
          <w:bCs/>
          <w:sz w:val="24"/>
          <w:szCs w:val="24"/>
        </w:rPr>
        <w:t> </w:t>
      </w:r>
      <w:r w:rsidRPr="3F6B174F">
        <w:rPr>
          <w:rFonts w:ascii="Times New Roman" w:hAnsi="Times New Roman" w:cs="Times New Roman"/>
          <w:sz w:val="24"/>
          <w:szCs w:val="24"/>
        </w:rPr>
        <w:t>(lisans, yüksek lisans veya doktora) toplamda 12 aya kadar hibe alarak faydalanabilir.</w:t>
      </w:r>
    </w:p>
    <w:p w:rsidR="00E23D01" w:rsidRPr="003B383F" w:rsidRDefault="00E23D01"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r w:rsidRPr="003B383F">
        <w:rPr>
          <w:rFonts w:ascii="Times New Roman" w:hAnsi="Times New Roman" w:cs="Times New Roman"/>
          <w:sz w:val="24"/>
          <w:szCs w:val="24"/>
          <w:lang w:eastAsia="tr-TR"/>
        </w:rPr>
        <w:t xml:space="preserve">    </w:t>
      </w:r>
    </w:p>
    <w:p w:rsidR="00E23D01" w:rsidRPr="00B355B7" w:rsidRDefault="00E23D01" w:rsidP="787C14B3">
      <w:pPr>
        <w:shd w:val="clear" w:color="auto" w:fill="FFFFFF"/>
        <w:spacing w:after="0" w:line="270" w:lineRule="atLeast"/>
        <w:ind w:right="48"/>
        <w:jc w:val="both"/>
        <w:textAlignment w:val="baseline"/>
        <w:rPr>
          <w:rFonts w:ascii="Times New Roman" w:hAnsi="Times New Roman" w:cs="Times New Roman"/>
          <w:b/>
          <w:bCs/>
          <w:sz w:val="24"/>
          <w:szCs w:val="24"/>
          <w:lang w:eastAsia="tr-TR"/>
        </w:rPr>
      </w:pPr>
      <w:r w:rsidRPr="787C14B3">
        <w:rPr>
          <w:rFonts w:ascii="Times New Roman" w:hAnsi="Times New Roman" w:cs="Times New Roman"/>
          <w:sz w:val="24"/>
          <w:szCs w:val="24"/>
          <w:lang w:eastAsia="tr-TR"/>
        </w:rPr>
        <w:t xml:space="preserve">      </w:t>
      </w:r>
      <w:r w:rsidRPr="787C14B3">
        <w:rPr>
          <w:rFonts w:ascii="Times New Roman" w:hAnsi="Times New Roman" w:cs="Times New Roman"/>
          <w:b/>
          <w:bCs/>
          <w:sz w:val="24"/>
          <w:szCs w:val="24"/>
          <w:lang w:eastAsia="tr-TR"/>
        </w:rPr>
        <w:t>Aynı Öğrenim Seviyesi Örnek:</w:t>
      </w:r>
    </w:p>
    <w:p w:rsidR="00E23D01" w:rsidRDefault="00E23D01" w:rsidP="787C14B3">
      <w:pPr>
        <w:shd w:val="clear" w:color="auto" w:fill="FFFFFF"/>
        <w:spacing w:after="0" w:line="270" w:lineRule="atLeast"/>
        <w:ind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p>
    <w:p w:rsidR="00E23D01" w:rsidRDefault="00E23D01" w:rsidP="787C14B3">
      <w:pPr>
        <w:shd w:val="clear" w:color="auto" w:fill="FFFFFF"/>
        <w:spacing w:after="0" w:line="270" w:lineRule="atLeast"/>
        <w:ind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İşletme 2.sınıfta HEI/Erasmus+ ile 4 ay süre öğrenim ya da staj faaliyetine katılan öğrenci 8 ay süre ile Erasmus+ Erasmus Hareketliliğine katılabilir.</w:t>
      </w:r>
    </w:p>
    <w:p w:rsidR="00E23D01" w:rsidRDefault="00E23D01"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E23D01" w:rsidRDefault="00E23D01" w:rsidP="787C14B3">
      <w:pPr>
        <w:shd w:val="clear" w:color="auto" w:fill="FFFFFF"/>
        <w:spacing w:after="0" w:line="270" w:lineRule="atLeast"/>
        <w:ind w:right="48"/>
        <w:jc w:val="both"/>
        <w:textAlignment w:val="baseline"/>
        <w:rPr>
          <w:rFonts w:ascii="Times New Roman" w:hAnsi="Times New Roman" w:cs="Times New Roman"/>
          <w:b/>
          <w:bCs/>
          <w:sz w:val="24"/>
          <w:szCs w:val="24"/>
          <w:lang w:eastAsia="tr-TR"/>
        </w:rPr>
      </w:pPr>
      <w:r w:rsidRPr="787C14B3">
        <w:rPr>
          <w:rFonts w:ascii="Times New Roman" w:hAnsi="Times New Roman" w:cs="Times New Roman"/>
          <w:b/>
          <w:bCs/>
          <w:sz w:val="24"/>
          <w:szCs w:val="24"/>
          <w:lang w:eastAsia="tr-TR"/>
        </w:rPr>
        <w:t xml:space="preserve">  </w:t>
      </w:r>
    </w:p>
    <w:p w:rsidR="00E23D01" w:rsidRPr="00B355B7" w:rsidRDefault="00E23D01" w:rsidP="787C14B3">
      <w:pPr>
        <w:shd w:val="clear" w:color="auto" w:fill="FFFFFF"/>
        <w:spacing w:after="0" w:line="270" w:lineRule="atLeast"/>
        <w:ind w:right="48"/>
        <w:jc w:val="both"/>
        <w:textAlignment w:val="baseline"/>
        <w:rPr>
          <w:rFonts w:ascii="Times New Roman" w:hAnsi="Times New Roman" w:cs="Times New Roman"/>
          <w:b/>
          <w:bCs/>
          <w:sz w:val="24"/>
          <w:szCs w:val="24"/>
          <w:lang w:eastAsia="tr-TR"/>
        </w:rPr>
      </w:pPr>
      <w:r w:rsidRPr="787C14B3">
        <w:rPr>
          <w:rFonts w:ascii="Times New Roman" w:hAnsi="Times New Roman" w:cs="Times New Roman"/>
          <w:b/>
          <w:bCs/>
          <w:sz w:val="24"/>
          <w:szCs w:val="24"/>
          <w:lang w:eastAsia="tr-TR"/>
        </w:rPr>
        <w:t xml:space="preserve">  Farklı Öğrenim Seviyesine Örnek:</w:t>
      </w:r>
    </w:p>
    <w:p w:rsidR="00E23D01" w:rsidRDefault="00E23D01"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E23D01" w:rsidRDefault="00E23D01" w:rsidP="787C14B3">
      <w:pPr>
        <w:shd w:val="clear" w:color="auto" w:fill="FFFFFF"/>
        <w:spacing w:after="0" w:line="270" w:lineRule="atLeast"/>
        <w:ind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 xml:space="preserve">    Lisans Döneminde HEI/Erasmus+ Faaliyetine Katılan Öğrenci Yüksek Lisans Döneminde toplamda 12 ay Erasmus+ Erasmus Hareketliliğine katılabilir.</w:t>
      </w:r>
    </w:p>
    <w:p w:rsidR="00E23D01" w:rsidRDefault="00E23D01"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E23D01" w:rsidRDefault="00E23D01" w:rsidP="787C14B3">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Erasmus+ Erasmus öğrenim Hareketliliği en az 3 ay en fazla 12 ay, ile gerçekleştirilebilir.</w:t>
      </w:r>
    </w:p>
    <w:p w:rsidR="00E23D01" w:rsidRPr="00E47ED6" w:rsidRDefault="00E23D01" w:rsidP="00031B41">
      <w:pPr>
        <w:shd w:val="clear" w:color="auto" w:fill="FFFFFF"/>
        <w:spacing w:after="0" w:line="270" w:lineRule="atLeast"/>
        <w:ind w:left="-900" w:right="240"/>
        <w:jc w:val="center"/>
        <w:textAlignment w:val="baseline"/>
        <w:rPr>
          <w:rFonts w:ascii="Times New Roman" w:hAnsi="Times New Roman" w:cs="Times New Roman"/>
          <w:b/>
          <w:bCs/>
          <w:color w:val="333333"/>
          <w:sz w:val="48"/>
          <w:szCs w:val="48"/>
          <w:lang w:eastAsia="tr-TR"/>
        </w:rPr>
      </w:pPr>
      <w:r w:rsidRPr="787C14B3">
        <w:rPr>
          <w:rFonts w:ascii="Times New Roman" w:hAnsi="Times New Roman" w:cs="Times New Roman"/>
          <w:b/>
          <w:bCs/>
          <w:color w:val="333333"/>
          <w:sz w:val="48"/>
          <w:szCs w:val="48"/>
          <w:lang w:eastAsia="tr-TR"/>
        </w:rPr>
        <w:t>BAŞVURU DUYURUSU</w:t>
      </w:r>
    </w:p>
    <w:p w:rsidR="00E23D01" w:rsidRDefault="00E23D01" w:rsidP="787C14B3">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787C14B3">
        <w:rPr>
          <w:rFonts w:ascii="Times New Roman" w:hAnsi="Times New Roman" w:cs="Times New Roman"/>
          <w:sz w:val="24"/>
          <w:szCs w:val="24"/>
          <w:lang w:eastAsia="tr-TR"/>
        </w:rPr>
        <w:t>Hibe tablosu aşağıdadır</w:t>
      </w:r>
      <w:r>
        <w:rPr>
          <w:rFonts w:ascii="Times New Roman" w:hAnsi="Times New Roman" w:cs="Times New Roman"/>
          <w:sz w:val="24"/>
          <w:szCs w:val="24"/>
          <w:lang w:eastAsia="tr-TR"/>
        </w:rPr>
        <w:t>.</w:t>
      </w:r>
    </w:p>
    <w:p w:rsidR="00E23D01" w:rsidRDefault="00E23D01" w:rsidP="787C14B3">
      <w:pPr>
        <w:shd w:val="clear" w:color="auto" w:fill="FFFFFF"/>
        <w:spacing w:after="0" w:line="270" w:lineRule="atLeast"/>
        <w:ind w:right="48"/>
        <w:jc w:val="both"/>
        <w:textAlignment w:val="baseline"/>
        <w:rPr>
          <w:rFonts w:ascii="Times New Roman" w:hAnsi="Times New Roman" w:cs="Times New Roman"/>
          <w:sz w:val="24"/>
          <w:szCs w:val="24"/>
          <w:lang w:eastAsia="tr-TR"/>
        </w:rPr>
      </w:pPr>
    </w:p>
    <w:tbl>
      <w:tblPr>
        <w:tblW w:w="0" w:type="auto"/>
        <w:tblInd w:w="-10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0A0"/>
      </w:tblPr>
      <w:tblGrid>
        <w:gridCol w:w="2373"/>
        <w:gridCol w:w="2524"/>
        <w:gridCol w:w="2159"/>
      </w:tblGrid>
      <w:tr w:rsidR="00E23D01">
        <w:tc>
          <w:tcPr>
            <w:tcW w:w="7458" w:type="dxa"/>
            <w:tcBorders>
              <w:bottom w:val="single" w:sz="12" w:space="0" w:color="95B3D7"/>
            </w:tcBorders>
          </w:tcPr>
          <w:p w:rsidR="00E23D01" w:rsidRPr="001533FA" w:rsidRDefault="00E23D01">
            <w:pPr>
              <w:rPr>
                <w:b/>
                <w:bCs/>
              </w:rPr>
            </w:pPr>
            <w:r w:rsidRPr="001533FA">
              <w:rPr>
                <w:b/>
                <w:bCs/>
                <w:color w:val="333333"/>
              </w:rPr>
              <w:t>Hayat pahalılığına göre ülke türleri</w:t>
            </w:r>
          </w:p>
        </w:tc>
        <w:tc>
          <w:tcPr>
            <w:tcW w:w="7458" w:type="dxa"/>
            <w:tcBorders>
              <w:bottom w:val="single" w:sz="12" w:space="0" w:color="95B3D7"/>
            </w:tcBorders>
          </w:tcPr>
          <w:p w:rsidR="00E23D01" w:rsidRPr="001533FA" w:rsidRDefault="00E23D01">
            <w:pPr>
              <w:rPr>
                <w:b/>
                <w:bCs/>
              </w:rPr>
            </w:pPr>
            <w:r w:rsidRPr="001533FA">
              <w:rPr>
                <w:b/>
                <w:bCs/>
                <w:color w:val="333333"/>
              </w:rPr>
              <w:t>Hareketlilikte Misafir Olunan Ülkeler</w:t>
            </w:r>
          </w:p>
        </w:tc>
        <w:tc>
          <w:tcPr>
            <w:tcW w:w="7458" w:type="dxa"/>
            <w:tcBorders>
              <w:bottom w:val="single" w:sz="12" w:space="0" w:color="95B3D7"/>
            </w:tcBorders>
          </w:tcPr>
          <w:p w:rsidR="00E23D01" w:rsidRPr="001533FA" w:rsidRDefault="00E23D01">
            <w:pPr>
              <w:rPr>
                <w:b/>
                <w:bCs/>
              </w:rPr>
            </w:pPr>
            <w:r w:rsidRPr="001533FA">
              <w:rPr>
                <w:b/>
                <w:bCs/>
                <w:color w:val="333333"/>
              </w:rPr>
              <w:t>Aylık Öğrenci Öğrenim Hibesi (€)</w:t>
            </w:r>
          </w:p>
        </w:tc>
      </w:tr>
      <w:tr w:rsidR="00E23D01">
        <w:trPr>
          <w:trHeight w:val="1728"/>
        </w:trPr>
        <w:tc>
          <w:tcPr>
            <w:tcW w:w="7458" w:type="dxa"/>
          </w:tcPr>
          <w:p w:rsidR="00E23D01" w:rsidRPr="001533FA" w:rsidRDefault="00E23D01">
            <w:pPr>
              <w:rPr>
                <w:b/>
                <w:bCs/>
              </w:rPr>
            </w:pPr>
            <w:r w:rsidRPr="001533FA">
              <w:rPr>
                <w:b/>
                <w:bCs/>
                <w:color w:val="595959"/>
              </w:rPr>
              <w:t>1. Grup Program Ülkeleri</w:t>
            </w:r>
          </w:p>
        </w:tc>
        <w:tc>
          <w:tcPr>
            <w:tcW w:w="7458" w:type="dxa"/>
          </w:tcPr>
          <w:p w:rsidR="00E23D01" w:rsidRDefault="00E23D01">
            <w:r w:rsidRPr="001533FA">
              <w:rPr>
                <w:color w:val="595959"/>
              </w:rPr>
              <w:t>Avusturya, Danimarka, Finlandiya, Fransa, İrlanda, İtalya, Lihtenştayn, Norveç, İsveç, İsviçre, Birleşik Krallık</w:t>
            </w:r>
          </w:p>
        </w:tc>
        <w:tc>
          <w:tcPr>
            <w:tcW w:w="7458" w:type="dxa"/>
          </w:tcPr>
          <w:p w:rsidR="00E23D01" w:rsidRDefault="00E23D01">
            <w:r w:rsidRPr="001533FA">
              <w:rPr>
                <w:color w:val="000000"/>
              </w:rPr>
              <w:t>500</w:t>
            </w:r>
          </w:p>
        </w:tc>
      </w:tr>
      <w:tr w:rsidR="00E23D01">
        <w:trPr>
          <w:trHeight w:val="2195"/>
        </w:trPr>
        <w:tc>
          <w:tcPr>
            <w:tcW w:w="7458" w:type="dxa"/>
          </w:tcPr>
          <w:p w:rsidR="00E23D01" w:rsidRPr="001533FA" w:rsidRDefault="00E23D01">
            <w:pPr>
              <w:rPr>
                <w:b/>
                <w:bCs/>
              </w:rPr>
            </w:pPr>
            <w:r w:rsidRPr="001533FA">
              <w:rPr>
                <w:b/>
                <w:bCs/>
                <w:color w:val="595959"/>
              </w:rPr>
              <w:t>2. Grup Program Ülkeleri</w:t>
            </w:r>
          </w:p>
        </w:tc>
        <w:tc>
          <w:tcPr>
            <w:tcW w:w="7458" w:type="dxa"/>
          </w:tcPr>
          <w:p w:rsidR="00E23D01" w:rsidRDefault="00E23D01">
            <w:r w:rsidRPr="001533FA">
              <w:rPr>
                <w:color w:val="595959"/>
              </w:rPr>
              <w:t>Belçika, Hırvatistan, Çek Cumhuriyeti, Kıbrıs Rum Kesimi, Almanya, Yunanistan, İzlanda, Lüksemburg, Hollanda, Portekiz, Slovenya, İspanya, Türkiye</w:t>
            </w:r>
          </w:p>
        </w:tc>
        <w:tc>
          <w:tcPr>
            <w:tcW w:w="7458" w:type="dxa"/>
          </w:tcPr>
          <w:p w:rsidR="00E23D01" w:rsidRDefault="00E23D01">
            <w:r w:rsidRPr="001533FA">
              <w:rPr>
                <w:color w:val="000000"/>
              </w:rPr>
              <w:t>400</w:t>
            </w:r>
          </w:p>
        </w:tc>
      </w:tr>
      <w:tr w:rsidR="00E23D01">
        <w:tc>
          <w:tcPr>
            <w:tcW w:w="7458" w:type="dxa"/>
          </w:tcPr>
          <w:p w:rsidR="00E23D01" w:rsidRPr="001533FA" w:rsidRDefault="00E23D01">
            <w:pPr>
              <w:rPr>
                <w:b/>
                <w:bCs/>
              </w:rPr>
            </w:pPr>
            <w:r w:rsidRPr="001533FA">
              <w:rPr>
                <w:b/>
                <w:bCs/>
                <w:color w:val="595959"/>
              </w:rPr>
              <w:t>3. Grup Program Ülkeleri</w:t>
            </w:r>
          </w:p>
        </w:tc>
        <w:tc>
          <w:tcPr>
            <w:tcW w:w="7458" w:type="dxa"/>
          </w:tcPr>
          <w:p w:rsidR="00E23D01" w:rsidRDefault="00E23D01">
            <w:r w:rsidRPr="001533FA">
              <w:rPr>
                <w:color w:val="595959"/>
              </w:rPr>
              <w:t>Bulgaristan, Estonya, Macaristan, Letonya, Litvanya, Malta, Polonya, Romanya, Slovakya, Makedonya</w:t>
            </w:r>
          </w:p>
        </w:tc>
        <w:tc>
          <w:tcPr>
            <w:tcW w:w="7458" w:type="dxa"/>
          </w:tcPr>
          <w:p w:rsidR="00E23D01" w:rsidRDefault="00E23D01">
            <w:r w:rsidRPr="001533FA">
              <w:rPr>
                <w:color w:val="000000"/>
              </w:rPr>
              <w:t>300</w:t>
            </w:r>
          </w:p>
        </w:tc>
      </w:tr>
    </w:tbl>
    <w:p w:rsidR="00E23D01" w:rsidRDefault="00E23D01" w:rsidP="787C14B3">
      <w:pPr>
        <w:spacing w:after="0" w:line="270" w:lineRule="atLeast"/>
        <w:textAlignment w:val="baseline"/>
        <w:rPr>
          <w:rFonts w:ascii="Times New Roman" w:hAnsi="Times New Roman" w:cs="Times New Roman"/>
          <w:sz w:val="24"/>
          <w:szCs w:val="24"/>
          <w:lang w:eastAsia="tr-TR"/>
        </w:rPr>
      </w:pPr>
      <w:r w:rsidRPr="787C14B3">
        <w:rPr>
          <w:rFonts w:ascii="Times New Roman" w:hAnsi="Times New Roman" w:cs="Times New Roman"/>
          <w:color w:val="595959"/>
          <w:sz w:val="24"/>
          <w:szCs w:val="24"/>
        </w:rPr>
        <w:t xml:space="preserve"> </w:t>
      </w:r>
    </w:p>
    <w:p w:rsidR="00E23D01" w:rsidRDefault="00E23D01" w:rsidP="787C14B3">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Daha Önce Erasmus Programından yararlanan öğrencilerin  her bir Erasmus+ hareketliliği için Erasmus+ puanından -10 puan düşülerek öğrencinin nihai puanı hesaplanır.</w:t>
      </w:r>
    </w:p>
    <w:p w:rsidR="00E23D01" w:rsidRPr="003B383F" w:rsidRDefault="00E23D01" w:rsidP="787C14B3">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rPr>
        <w:t>Yapılacak yabancı dil sınavına kayıt olunduğu halde katılım sağlanmamışsa, öğrencinin daha sonraki herhangi bir Erasmus hareketliliği başvurusunda toplam puanından</w:t>
      </w:r>
      <w:r w:rsidRPr="3F6B174F">
        <w:rPr>
          <w:rStyle w:val="apple-converted-space"/>
          <w:rFonts w:ascii="Times New Roman" w:hAnsi="Times New Roman" w:cs="Times New Roman"/>
          <w:sz w:val="24"/>
          <w:szCs w:val="24"/>
        </w:rPr>
        <w:t> -</w:t>
      </w:r>
      <w:r w:rsidRPr="3F6B174F">
        <w:rPr>
          <w:rStyle w:val="Strong"/>
          <w:rFonts w:ascii="Times New Roman" w:hAnsi="Times New Roman" w:cs="Times New Roman"/>
          <w:sz w:val="24"/>
          <w:szCs w:val="24"/>
        </w:rPr>
        <w:t>5 puan düşülecektir</w:t>
      </w:r>
      <w:r w:rsidRPr="3F6B174F">
        <w:rPr>
          <w:rFonts w:ascii="Times New Roman" w:hAnsi="Times New Roman" w:cs="Times New Roman"/>
          <w:sz w:val="24"/>
          <w:szCs w:val="24"/>
        </w:rPr>
        <w:t>.</w:t>
      </w:r>
    </w:p>
    <w:p w:rsidR="00E23D01" w:rsidRPr="003B383F" w:rsidRDefault="00E23D01" w:rsidP="787C14B3">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rPr>
        <w:t xml:space="preserve">Hareketliliği kazandığı halde feragat süresi dahilinde feragat bildiriminde bulunulmaması halinde öğrencinin daha sonraki herhangi bir Erasmus Hareketliliği başvurusunda </w:t>
      </w:r>
      <w:r w:rsidRPr="3F6B174F">
        <w:rPr>
          <w:rFonts w:ascii="Times New Roman" w:hAnsi="Times New Roman" w:cs="Times New Roman"/>
          <w:b/>
          <w:bCs/>
          <w:sz w:val="24"/>
          <w:szCs w:val="24"/>
        </w:rPr>
        <w:t>-10 puan düşülecektir</w:t>
      </w:r>
      <w:r w:rsidRPr="3F6B174F">
        <w:rPr>
          <w:rFonts w:ascii="Times New Roman" w:hAnsi="Times New Roman" w:cs="Times New Roman"/>
          <w:sz w:val="24"/>
          <w:szCs w:val="24"/>
        </w:rPr>
        <w:t xml:space="preserve">. </w:t>
      </w:r>
    </w:p>
    <w:p w:rsidR="00E23D01" w:rsidRDefault="00E23D01" w:rsidP="3F6B174F">
      <w:pPr>
        <w:shd w:val="clear" w:color="auto" w:fill="FFFFFF"/>
        <w:spacing w:after="0" w:line="270" w:lineRule="atLeast"/>
        <w:ind w:left="48" w:right="48"/>
        <w:jc w:val="both"/>
      </w:pPr>
    </w:p>
    <w:p w:rsidR="00E23D01" w:rsidRPr="003B383F" w:rsidRDefault="00E23D01" w:rsidP="001B7C1A">
      <w:pPr>
        <w:spacing w:after="0" w:line="240" w:lineRule="auto"/>
        <w:jc w:val="center"/>
        <w:rPr>
          <w:rFonts w:ascii="Times New Roman" w:hAnsi="Times New Roman" w:cs="Times New Roman"/>
          <w:b/>
          <w:bCs/>
          <w:sz w:val="24"/>
          <w:szCs w:val="24"/>
          <w:lang w:eastAsia="tr-TR"/>
        </w:rPr>
      </w:pPr>
      <w:r w:rsidRPr="787C14B3">
        <w:rPr>
          <w:rFonts w:ascii="Times New Roman" w:hAnsi="Times New Roman" w:cs="Times New Roman"/>
          <w:b/>
          <w:bCs/>
          <w:sz w:val="24"/>
          <w:szCs w:val="24"/>
          <w:lang w:eastAsia="tr-TR"/>
        </w:rPr>
        <w:t>Önemli Noktalar</w:t>
      </w:r>
    </w:p>
    <w:p w:rsidR="00E23D01" w:rsidRPr="001B7C1A" w:rsidRDefault="00E23D01" w:rsidP="001B7C1A">
      <w:pPr>
        <w:spacing w:after="0" w:line="240" w:lineRule="auto"/>
        <w:jc w:val="center"/>
        <w:rPr>
          <w:rFonts w:ascii="Times New Roman" w:hAnsi="Times New Roman" w:cs="Times New Roman"/>
          <w:sz w:val="24"/>
          <w:szCs w:val="24"/>
          <w:lang w:eastAsia="tr-TR"/>
        </w:rPr>
      </w:pPr>
    </w:p>
    <w:p w:rsidR="00E23D01" w:rsidRPr="0050060A" w:rsidRDefault="00E23D01" w:rsidP="00B8408F">
      <w:pPr>
        <w:spacing w:after="0" w:line="240" w:lineRule="auto"/>
        <w:jc w:val="both"/>
        <w:rPr>
          <w:rFonts w:ascii="Times New Roman" w:hAnsi="Times New Roman" w:cs="Times New Roman"/>
          <w:b/>
          <w:bCs/>
          <w:i/>
          <w:iCs/>
          <w:sz w:val="24"/>
          <w:szCs w:val="24"/>
          <w:lang w:eastAsia="tr-TR"/>
        </w:rPr>
      </w:pPr>
      <w:r w:rsidRPr="787C14B3">
        <w:rPr>
          <w:rFonts w:ascii="Times New Roman" w:hAnsi="Times New Roman" w:cs="Times New Roman"/>
          <w:b/>
          <w:bCs/>
          <w:i/>
          <w:iCs/>
          <w:sz w:val="24"/>
          <w:szCs w:val="24"/>
          <w:lang w:eastAsia="tr-TR"/>
        </w:rPr>
        <w:t>Lisans Öğrencileri için</w:t>
      </w:r>
    </w:p>
    <w:p w:rsidR="00E23D01" w:rsidRPr="00FC6802"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sidRPr="3F6B174F">
        <w:rPr>
          <w:rFonts w:ascii="Times New Roman" w:hAnsi="Times New Roman" w:cs="Times New Roman"/>
          <w:color w:val="000000"/>
          <w:sz w:val="24"/>
          <w:szCs w:val="24"/>
          <w:lang w:eastAsia="tr-TR"/>
        </w:rPr>
        <w:t>Değişimin gerçekleşeceği akademik yıl birinci sınıfta okuyan önlisans ve lisans öğrencileri Erasmus öğrenim hareketliliğine başvuruda bulunabilir, ancak değişim başladığında birinci sınıfı bitirmiş olmaları gerekir. GANO oluşmalı ve en az 2,20 olmalı</w:t>
      </w:r>
    </w:p>
    <w:p w:rsidR="00E23D01"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sidRPr="3F6B174F">
        <w:rPr>
          <w:rFonts w:ascii="Times New Roman" w:hAnsi="Times New Roman" w:cs="Times New Roman"/>
          <w:color w:val="000000"/>
          <w:sz w:val="24"/>
          <w:szCs w:val="24"/>
          <w:lang w:eastAsia="tr-TR"/>
        </w:rPr>
        <w:t>Erasmus’a başvuru aşamasında minimum eğitim sürelerini o akademik yılın sonunda tamamlayacak öğrenciler (önlisans 2. sınıf, lisans 4. sınıf öğrencileri) gelecek akademik yılın Erasmus öğrenim hareketliliği programından yararlanamazlar.</w:t>
      </w:r>
    </w:p>
    <w:p w:rsidR="00E23D01" w:rsidRDefault="00E23D01" w:rsidP="3F6B174F">
      <w:pPr>
        <w:numPr>
          <w:ilvl w:val="0"/>
          <w:numId w:val="4"/>
        </w:numPr>
        <w:shd w:val="clear" w:color="auto" w:fill="FFFFFF"/>
        <w:spacing w:after="0" w:line="270" w:lineRule="atLeast"/>
        <w:ind w:left="48" w:right="48"/>
        <w:jc w:val="both"/>
        <w:rPr>
          <w:rFonts w:ascii="Times New Roman" w:hAnsi="Times New Roman" w:cs="Times New Roman"/>
          <w:color w:val="000000"/>
          <w:sz w:val="24"/>
          <w:szCs w:val="24"/>
        </w:rPr>
      </w:pPr>
      <w:r w:rsidRPr="3F6B174F">
        <w:rPr>
          <w:rFonts w:ascii="Times New Roman" w:hAnsi="Times New Roman" w:cs="Times New Roman"/>
          <w:color w:val="000000"/>
          <w:sz w:val="24"/>
          <w:szCs w:val="24"/>
          <w:lang w:eastAsia="tr-TR"/>
        </w:rPr>
        <w:t>Okulu uzatan öğrenciler üzerilerinde 30 AKTS'lik ders yükümlülüğü bulunmaları durumunda gelecek akademik yılın Erasmus öğrenim hareketliliği programından yararlanabilirler.</w:t>
      </w:r>
    </w:p>
    <w:p w:rsidR="00E23D01"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sidRPr="3F6B174F">
        <w:rPr>
          <w:rFonts w:ascii="Times New Roman" w:hAnsi="Times New Roman" w:cs="Times New Roman"/>
          <w:color w:val="000000"/>
          <w:sz w:val="24"/>
          <w:szCs w:val="24"/>
          <w:lang w:eastAsia="tr-TR"/>
        </w:rPr>
        <w:t>Erasmus öğrencisi bir dönemde mutlaka 30 AKTS’lik ders almak zorundadır. Aksi takdirde hibe ödemesi yapılmaz.</w:t>
      </w:r>
    </w:p>
    <w:p w:rsidR="00E23D01" w:rsidRPr="003B383F"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787C14B3">
        <w:rPr>
          <w:rFonts w:ascii="Times New Roman" w:hAnsi="Times New Roman" w:cs="Times New Roman"/>
          <w:sz w:val="24"/>
          <w:szCs w:val="24"/>
        </w:rPr>
        <w:t>Yatay veya dikey geçişle başka bir yükseköğretim kurumundan geçiş yapmış ve henüz seçim yapılan yükseköğretim kurumunda bir not ortalaması oluşmamış öğrenciler için geldikleri yükseköğretim kurumundan aldıkları son transkriptte yer alan not ortalamaları dikkate alınır.</w:t>
      </w:r>
    </w:p>
    <w:p w:rsidR="00E23D01" w:rsidRPr="003B383F" w:rsidRDefault="00E23D01" w:rsidP="00AA4BD7">
      <w:pPr>
        <w:spacing w:after="0" w:line="240" w:lineRule="auto"/>
        <w:ind w:left="720"/>
        <w:jc w:val="both"/>
        <w:rPr>
          <w:rFonts w:ascii="Times New Roman" w:hAnsi="Times New Roman" w:cs="Times New Roman"/>
          <w:sz w:val="24"/>
          <w:szCs w:val="24"/>
          <w:lang w:eastAsia="tr-TR"/>
        </w:rPr>
      </w:pPr>
      <w:r w:rsidRPr="003B383F">
        <w:rPr>
          <w:rFonts w:ascii="Times New Roman" w:hAnsi="Times New Roman" w:cs="Times New Roman"/>
          <w:sz w:val="24"/>
          <w:szCs w:val="24"/>
          <w:lang w:eastAsia="tr-TR"/>
        </w:rPr>
        <w:t xml:space="preserve"> </w:t>
      </w:r>
    </w:p>
    <w:p w:rsidR="00E23D01" w:rsidRPr="00AA4BD7" w:rsidRDefault="00E23D01" w:rsidP="787C14B3">
      <w:pPr>
        <w:shd w:val="clear" w:color="auto" w:fill="FFFFFF"/>
        <w:spacing w:after="0" w:line="270" w:lineRule="atLeast"/>
        <w:ind w:right="48"/>
        <w:jc w:val="both"/>
        <w:textAlignment w:val="baseline"/>
        <w:rPr>
          <w:rFonts w:ascii="Times New Roman" w:hAnsi="Times New Roman" w:cs="Times New Roman"/>
          <w:b/>
          <w:bCs/>
          <w:i/>
          <w:iCs/>
          <w:color w:val="FF0000"/>
          <w:sz w:val="24"/>
          <w:szCs w:val="24"/>
          <w:lang w:eastAsia="tr-TR"/>
        </w:rPr>
      </w:pPr>
      <w:r w:rsidRPr="787C14B3">
        <w:rPr>
          <w:rFonts w:ascii="Times New Roman" w:hAnsi="Times New Roman" w:cs="Times New Roman"/>
          <w:b/>
          <w:bCs/>
          <w:i/>
          <w:iCs/>
          <w:color w:val="FF0000"/>
          <w:sz w:val="24"/>
          <w:szCs w:val="24"/>
          <w:lang w:eastAsia="tr-TR"/>
        </w:rPr>
        <w:t>Lisansüstü Öğrencileri için</w:t>
      </w:r>
    </w:p>
    <w:p w:rsidR="00E23D01" w:rsidRDefault="00E23D01" w:rsidP="0050060A">
      <w:pPr>
        <w:shd w:val="clear" w:color="auto" w:fill="FFFFFF"/>
        <w:spacing w:after="0" w:line="270" w:lineRule="atLeast"/>
        <w:ind w:right="48"/>
        <w:jc w:val="both"/>
        <w:textAlignment w:val="baseline"/>
        <w:rPr>
          <w:rFonts w:ascii="Times New Roman" w:hAnsi="Times New Roman" w:cs="Times New Roman"/>
          <w:color w:val="000000"/>
          <w:sz w:val="24"/>
          <w:szCs w:val="24"/>
          <w:lang w:eastAsia="tr-TR"/>
        </w:rPr>
      </w:pPr>
    </w:p>
    <w:p w:rsidR="00E23D01" w:rsidRPr="003B383F"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 xml:space="preserve">2015-2016 Bahar Döneminde Yüksek Lisans ve Doktora başlayan öğrenciler henüz not ortalamaları olmadığından lisans veya yüksek lisans (doktora öğrencileri için) GANO’ları ile 2016-2017 Akademik yılı Erasmus+ programına başvuru yapabilirler. </w:t>
      </w:r>
    </w:p>
    <w:p w:rsidR="00E23D01" w:rsidRPr="003B383F"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Ders dönemini tamamlamış Yüksek lisans öğrencileri araştırma amaçlı Erasmus Programından yararlanabilirler.</w:t>
      </w:r>
    </w:p>
    <w:p w:rsidR="00E23D01" w:rsidRPr="003B383F"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 xml:space="preserve">Yüksek Lisans ve Doktora Öğrencileri 30 AKTS’lik ders almak zorunda değildirler. Özellikle tez aşamasında olan öğrenciler isterlerse hiç ders almayabilirler. Tez yazmaları zaten 30 AKTS şartını sağlamaya yeterlidir. </w:t>
      </w:r>
    </w:p>
    <w:p w:rsidR="00E23D01" w:rsidRPr="003B383F" w:rsidRDefault="00E23D01" w:rsidP="787C14B3">
      <w:pPr>
        <w:numPr>
          <w:ilvl w:val="0"/>
          <w:numId w:val="4"/>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3F6B174F">
        <w:rPr>
          <w:rStyle w:val="Strong"/>
          <w:rFonts w:ascii="Times New Roman" w:hAnsi="Times New Roman" w:cs="Times New Roman"/>
          <w:b w:val="0"/>
          <w:bCs w:val="0"/>
          <w:sz w:val="24"/>
          <w:szCs w:val="24"/>
        </w:rPr>
        <w:t>Lisansüstü</w:t>
      </w:r>
      <w:r w:rsidRPr="3F6B174F">
        <w:rPr>
          <w:rStyle w:val="apple-converted-space"/>
          <w:rFonts w:ascii="Times New Roman" w:hAnsi="Times New Roman" w:cs="Times New Roman"/>
          <w:b/>
          <w:bCs/>
          <w:sz w:val="24"/>
          <w:szCs w:val="24"/>
        </w:rPr>
        <w:t> </w:t>
      </w:r>
      <w:r w:rsidRPr="3F6B174F">
        <w:rPr>
          <w:rFonts w:ascii="Times New Roman" w:hAnsi="Times New Roman" w:cs="Times New Roman"/>
          <w:sz w:val="24"/>
          <w:szCs w:val="24"/>
        </w:rPr>
        <w:t>seviyede başvuracak ve</w:t>
      </w:r>
      <w:r w:rsidRPr="3F6B174F">
        <w:rPr>
          <w:rStyle w:val="apple-converted-space"/>
          <w:rFonts w:ascii="Times New Roman" w:hAnsi="Times New Roman" w:cs="Times New Roman"/>
          <w:sz w:val="24"/>
          <w:szCs w:val="24"/>
        </w:rPr>
        <w:t> </w:t>
      </w:r>
      <w:r w:rsidRPr="3F6B174F">
        <w:rPr>
          <w:rStyle w:val="Strong"/>
          <w:rFonts w:ascii="Times New Roman" w:hAnsi="Times New Roman" w:cs="Times New Roman"/>
          <w:b w:val="0"/>
          <w:bCs w:val="0"/>
          <w:sz w:val="24"/>
          <w:szCs w:val="24"/>
        </w:rPr>
        <w:t>özellikle tez döneminde</w:t>
      </w:r>
      <w:r w:rsidRPr="3F6B174F">
        <w:rPr>
          <w:rStyle w:val="apple-converted-space"/>
          <w:rFonts w:ascii="Times New Roman" w:hAnsi="Times New Roman" w:cs="Times New Roman"/>
          <w:b/>
          <w:bCs/>
          <w:sz w:val="24"/>
          <w:szCs w:val="24"/>
        </w:rPr>
        <w:t> </w:t>
      </w:r>
      <w:r w:rsidRPr="3F6B174F">
        <w:rPr>
          <w:rFonts w:ascii="Times New Roman" w:hAnsi="Times New Roman" w:cs="Times New Roman"/>
          <w:sz w:val="24"/>
          <w:szCs w:val="24"/>
        </w:rPr>
        <w:t>yararlanacak adayların, tercihlerini yapmadan</w:t>
      </w:r>
      <w:r w:rsidRPr="3F6B174F">
        <w:rPr>
          <w:rFonts w:ascii="Times New Roman" w:hAnsi="Times New Roman" w:cs="Times New Roman"/>
          <w:sz w:val="24"/>
          <w:szCs w:val="24"/>
          <w:lang w:eastAsia="tr-TR"/>
        </w:rPr>
        <w:t xml:space="preserve"> </w:t>
      </w:r>
      <w:r w:rsidRPr="3F6B174F">
        <w:rPr>
          <w:rFonts w:ascii="Times New Roman" w:hAnsi="Times New Roman" w:cs="Times New Roman"/>
          <w:sz w:val="24"/>
          <w:szCs w:val="24"/>
        </w:rPr>
        <w:t>önce ilgili anlaşmanın ait olduğu Enstitü / Bölüm / Anabilim Dalı koordinatörleriyle iletişime geçmeleri ve gitmeyi planladıkları üniversitede çalışma alanlarının bulunup bulunmadığını teyit etmeleri beklenmektedir. Benzer şekilde, gidilmesi planlanan üniversitenin Erasmus koordinatörleriyle de iletişime geçilerek ön bilgi alınabilir.</w:t>
      </w:r>
    </w:p>
    <w:p w:rsidR="00E23D01" w:rsidRPr="003B383F" w:rsidRDefault="00E23D01" w:rsidP="0050060A">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E23D01" w:rsidRPr="003B383F" w:rsidRDefault="00E23D01" w:rsidP="787C14B3">
      <w:pPr>
        <w:shd w:val="clear" w:color="auto" w:fill="FFFFFF"/>
        <w:spacing w:after="0" w:line="270" w:lineRule="atLeast"/>
        <w:ind w:left="120" w:right="240"/>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Başvuran tüm öğrencilerimiz ayrıca bir çağrı beklemeksizin, başvuruda tercih ettikleri üniversitelerin Erasmus+ öğrencilerine uyguladıkları eğitim diline göre (eğitim diline ilişkin veriler üniversitelerin web adresinde yayınlanmaktadır. Bu konuda Erasmus bölüm koordinatörünüzden de bilgi alabilirsiniz) aşağıda detayları belirtilen yabancı dil sınavlarına gireceklerdir:</w:t>
      </w:r>
    </w:p>
    <w:p w:rsidR="00E23D01" w:rsidRPr="003B383F" w:rsidRDefault="00E23D01" w:rsidP="00B8408F">
      <w:pPr>
        <w:spacing w:after="0" w:line="240" w:lineRule="auto"/>
        <w:jc w:val="both"/>
        <w:rPr>
          <w:rFonts w:ascii="Times New Roman" w:hAnsi="Times New Roman" w:cs="Times New Roman"/>
          <w:sz w:val="24"/>
          <w:szCs w:val="24"/>
          <w:lang w:eastAsia="tr-TR"/>
        </w:rPr>
      </w:pPr>
    </w:p>
    <w:tbl>
      <w:tblPr>
        <w:tblW w:w="0" w:type="auto"/>
        <w:jc w:val="center"/>
        <w:tblCellMar>
          <w:left w:w="0" w:type="dxa"/>
          <w:right w:w="0" w:type="dxa"/>
        </w:tblCellMar>
        <w:tblLook w:val="00A0"/>
      </w:tblPr>
      <w:tblGrid>
        <w:gridCol w:w="1457"/>
        <w:gridCol w:w="990"/>
        <w:gridCol w:w="2470"/>
        <w:gridCol w:w="690"/>
      </w:tblGrid>
      <w:tr w:rsidR="00E23D01" w:rsidRPr="003B38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E23D01" w:rsidRPr="003B383F" w:rsidRDefault="00E23D01" w:rsidP="00922BD3">
            <w:pPr>
              <w:spacing w:after="0" w:line="240" w:lineRule="auto"/>
              <w:jc w:val="both"/>
              <w:rPr>
                <w:rFonts w:ascii="Times New Roman" w:hAnsi="Times New Roman" w:cs="Times New Roman"/>
                <w:sz w:val="24"/>
                <w:szCs w:val="24"/>
                <w:highlight w:val="yellow"/>
                <w:lang w:eastAsia="tr-TR"/>
              </w:rPr>
            </w:pPr>
            <w:r w:rsidRPr="787C14B3">
              <w:rPr>
                <w:rFonts w:ascii="Times New Roman" w:hAnsi="Times New Roman" w:cs="Times New Roman"/>
                <w:b/>
                <w:bCs/>
                <w:sz w:val="24"/>
                <w:szCs w:val="24"/>
                <w:highlight w:val="yellow"/>
                <w:lang w:eastAsia="tr-TR"/>
              </w:rPr>
              <w:t>Tarih</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E23D01" w:rsidRPr="003B383F" w:rsidRDefault="00E23D01" w:rsidP="00922BD3">
            <w:pPr>
              <w:spacing w:after="0" w:line="240" w:lineRule="auto"/>
              <w:jc w:val="both"/>
              <w:rPr>
                <w:rFonts w:ascii="Times New Roman" w:hAnsi="Times New Roman" w:cs="Times New Roman"/>
                <w:sz w:val="24"/>
                <w:szCs w:val="24"/>
                <w:highlight w:val="yellow"/>
                <w:lang w:eastAsia="tr-TR"/>
              </w:rPr>
            </w:pPr>
            <w:r w:rsidRPr="787C14B3">
              <w:rPr>
                <w:rFonts w:ascii="Times New Roman" w:hAnsi="Times New Roman" w:cs="Times New Roman"/>
                <w:b/>
                <w:bCs/>
                <w:sz w:val="24"/>
                <w:szCs w:val="24"/>
                <w:highlight w:val="yellow"/>
                <w:lang w:eastAsia="tr-TR"/>
              </w:rPr>
              <w:t>Sınav</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E23D01" w:rsidRPr="003B383F" w:rsidRDefault="00E23D01" w:rsidP="00922BD3">
            <w:pPr>
              <w:spacing w:after="0" w:line="240" w:lineRule="auto"/>
              <w:jc w:val="both"/>
              <w:rPr>
                <w:rFonts w:ascii="Times New Roman" w:hAnsi="Times New Roman" w:cs="Times New Roman"/>
                <w:sz w:val="24"/>
                <w:szCs w:val="24"/>
                <w:highlight w:val="yellow"/>
                <w:lang w:eastAsia="tr-TR"/>
              </w:rPr>
            </w:pPr>
            <w:r w:rsidRPr="787C14B3">
              <w:rPr>
                <w:rFonts w:ascii="Times New Roman" w:hAnsi="Times New Roman" w:cs="Times New Roman"/>
                <w:b/>
                <w:bCs/>
                <w:sz w:val="24"/>
                <w:szCs w:val="24"/>
                <w:highlight w:val="yellow"/>
                <w:lang w:eastAsia="tr-TR"/>
              </w:rPr>
              <w:t>Yer</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E23D01" w:rsidRPr="003B383F" w:rsidRDefault="00E23D01" w:rsidP="00922BD3">
            <w:pPr>
              <w:spacing w:after="0" w:line="240" w:lineRule="auto"/>
              <w:jc w:val="both"/>
              <w:rPr>
                <w:rFonts w:ascii="Times New Roman" w:hAnsi="Times New Roman" w:cs="Times New Roman"/>
                <w:sz w:val="24"/>
                <w:szCs w:val="24"/>
                <w:highlight w:val="yellow"/>
                <w:lang w:eastAsia="tr-TR"/>
              </w:rPr>
            </w:pPr>
            <w:r w:rsidRPr="787C14B3">
              <w:rPr>
                <w:rFonts w:ascii="Times New Roman" w:hAnsi="Times New Roman" w:cs="Times New Roman"/>
                <w:b/>
                <w:bCs/>
                <w:sz w:val="24"/>
                <w:szCs w:val="24"/>
                <w:highlight w:val="yellow"/>
                <w:lang w:eastAsia="tr-TR"/>
              </w:rPr>
              <w:t>Saat</w:t>
            </w:r>
          </w:p>
        </w:tc>
      </w:tr>
      <w:tr w:rsidR="00E23D01" w:rsidRPr="003B383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E23D01" w:rsidRPr="003B383F" w:rsidRDefault="00E23D01" w:rsidP="0050060A">
            <w:pPr>
              <w:spacing w:after="0" w:line="240" w:lineRule="auto"/>
              <w:jc w:val="both"/>
              <w:rPr>
                <w:rFonts w:ascii="Times New Roman" w:hAnsi="Times New Roman" w:cs="Times New Roman"/>
                <w:sz w:val="24"/>
                <w:szCs w:val="24"/>
                <w:highlight w:val="yellow"/>
                <w:lang w:eastAsia="tr-TR"/>
              </w:rPr>
            </w:pPr>
            <w:r w:rsidRPr="787C14B3">
              <w:rPr>
                <w:rFonts w:ascii="Times New Roman" w:hAnsi="Times New Roman" w:cs="Times New Roman"/>
                <w:sz w:val="24"/>
                <w:szCs w:val="24"/>
                <w:highlight w:val="yellow"/>
                <w:lang w:eastAsia="tr-TR"/>
              </w:rPr>
              <w:t>17 Mart 2016</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E23D01" w:rsidRPr="003B383F" w:rsidRDefault="00E23D01" w:rsidP="00922BD3">
            <w:pPr>
              <w:spacing w:after="0" w:line="240" w:lineRule="auto"/>
              <w:jc w:val="both"/>
              <w:rPr>
                <w:rFonts w:ascii="Times New Roman" w:hAnsi="Times New Roman" w:cs="Times New Roman"/>
                <w:sz w:val="24"/>
                <w:szCs w:val="24"/>
                <w:highlight w:val="yellow"/>
                <w:lang w:eastAsia="tr-TR"/>
              </w:rPr>
            </w:pPr>
            <w:r w:rsidRPr="787C14B3">
              <w:rPr>
                <w:rFonts w:ascii="Times New Roman" w:hAnsi="Times New Roman" w:cs="Times New Roman"/>
                <w:sz w:val="24"/>
                <w:szCs w:val="24"/>
                <w:highlight w:val="yellow"/>
                <w:lang w:eastAsia="tr-TR"/>
              </w:rPr>
              <w:t>İngilizce</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E23D01" w:rsidRPr="003B383F" w:rsidRDefault="00E23D01" w:rsidP="00922BD3">
            <w:pPr>
              <w:spacing w:after="0" w:line="240" w:lineRule="auto"/>
              <w:jc w:val="both"/>
              <w:rPr>
                <w:rFonts w:ascii="Times New Roman" w:hAnsi="Times New Roman" w:cs="Times New Roman"/>
                <w:sz w:val="24"/>
                <w:szCs w:val="24"/>
                <w:highlight w:val="yellow"/>
                <w:lang w:eastAsia="tr-TR"/>
              </w:rPr>
            </w:pPr>
            <w:r w:rsidRPr="787C14B3">
              <w:rPr>
                <w:rFonts w:ascii="Times New Roman" w:hAnsi="Times New Roman" w:cs="Times New Roman"/>
                <w:sz w:val="24"/>
                <w:szCs w:val="24"/>
                <w:highlight w:val="yellow"/>
                <w:lang w:eastAsia="tr-TR"/>
              </w:rPr>
              <w:t>İİBF Merkez Yerleşkesi</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E23D01" w:rsidRPr="003B383F" w:rsidRDefault="00E23D01" w:rsidP="00922BD3">
            <w:pPr>
              <w:spacing w:after="0" w:line="240" w:lineRule="auto"/>
              <w:jc w:val="both"/>
              <w:rPr>
                <w:rFonts w:ascii="Times New Roman" w:hAnsi="Times New Roman" w:cs="Times New Roman"/>
                <w:sz w:val="24"/>
                <w:szCs w:val="24"/>
                <w:lang w:eastAsia="tr-TR"/>
              </w:rPr>
            </w:pPr>
            <w:r w:rsidRPr="003B383F">
              <w:rPr>
                <w:rFonts w:ascii="Times New Roman" w:hAnsi="Times New Roman" w:cs="Times New Roman"/>
                <w:sz w:val="24"/>
                <w:szCs w:val="24"/>
                <w:highlight w:val="yellow"/>
                <w:lang w:eastAsia="tr-TR"/>
              </w:rPr>
              <w:t>16.00</w:t>
            </w:r>
          </w:p>
        </w:tc>
      </w:tr>
    </w:tbl>
    <w:p w:rsidR="00E23D01" w:rsidRPr="00031B41" w:rsidRDefault="00E23D01" w:rsidP="787C14B3">
      <w:pPr>
        <w:shd w:val="clear" w:color="auto" w:fill="FFFFFF"/>
        <w:spacing w:after="0" w:line="270" w:lineRule="atLeast"/>
        <w:ind w:left="120" w:right="240"/>
        <w:jc w:val="both"/>
        <w:textAlignment w:val="baseline"/>
        <w:rPr>
          <w:rFonts w:ascii="Times New Roman" w:hAnsi="Times New Roman" w:cs="Times New Roman"/>
          <w:b/>
          <w:bCs/>
          <w:color w:val="0000FF"/>
          <w:sz w:val="24"/>
          <w:szCs w:val="24"/>
          <w:lang w:eastAsia="tr-TR"/>
        </w:rPr>
      </w:pPr>
      <w:r w:rsidRPr="003B383F">
        <w:rPr>
          <w:rFonts w:ascii="Times New Roman" w:hAnsi="Times New Roman" w:cs="Times New Roman"/>
          <w:sz w:val="24"/>
          <w:szCs w:val="24"/>
          <w:lang w:eastAsia="tr-TR"/>
        </w:rPr>
        <w:tab/>
      </w:r>
      <w:r w:rsidRPr="787C14B3">
        <w:rPr>
          <w:rFonts w:ascii="Times New Roman" w:hAnsi="Times New Roman" w:cs="Times New Roman"/>
          <w:sz w:val="24"/>
          <w:szCs w:val="24"/>
          <w:lang w:eastAsia="tr-TR"/>
        </w:rPr>
        <w:t>*</w:t>
      </w:r>
      <w:r w:rsidRPr="787C14B3">
        <w:rPr>
          <w:rFonts w:ascii="Times New Roman" w:hAnsi="Times New Roman" w:cs="Times New Roman"/>
          <w:sz w:val="20"/>
          <w:szCs w:val="20"/>
          <w:lang w:eastAsia="tr-TR"/>
        </w:rPr>
        <w:t xml:space="preserve">Yer, gün ve saatlerde olabilecek değişiklikler için lütfen web adresimizi düzenli olarak kontrol ediniz. </w:t>
      </w:r>
      <w:hyperlink r:id="rId7" w:history="1">
        <w:r w:rsidRPr="00031B41">
          <w:rPr>
            <w:rStyle w:val="Hyperlink"/>
            <w:rFonts w:ascii="Times New Roman" w:hAnsi="Times New Roman" w:cs="Times New Roman"/>
            <w:b/>
            <w:bCs/>
            <w:sz w:val="20"/>
            <w:szCs w:val="20"/>
            <w:lang w:eastAsia="tr-TR"/>
          </w:rPr>
          <w:t>http://erasmus.yalova.edu.tr</w:t>
        </w:r>
      </w:hyperlink>
      <w:r w:rsidRPr="00031B41">
        <w:rPr>
          <w:rFonts w:ascii="Times New Roman" w:hAnsi="Times New Roman" w:cs="Times New Roman"/>
          <w:b/>
          <w:bCs/>
          <w:color w:val="0000FF"/>
          <w:sz w:val="20"/>
          <w:szCs w:val="20"/>
          <w:lang w:eastAsia="tr-TR"/>
        </w:rPr>
        <w:t xml:space="preserve"> </w:t>
      </w:r>
    </w:p>
    <w:p w:rsidR="00E23D01" w:rsidRPr="003B383F" w:rsidRDefault="00E23D01" w:rsidP="00B8408F">
      <w:pPr>
        <w:spacing w:after="0" w:line="240" w:lineRule="auto"/>
        <w:jc w:val="both"/>
        <w:rPr>
          <w:rFonts w:ascii="Times New Roman" w:hAnsi="Times New Roman" w:cs="Times New Roman"/>
          <w:sz w:val="24"/>
          <w:szCs w:val="24"/>
          <w:lang w:eastAsia="tr-TR"/>
        </w:rPr>
      </w:pPr>
    </w:p>
    <w:p w:rsidR="00E23D01" w:rsidRDefault="00E23D01" w:rsidP="00D5369A">
      <w:pPr>
        <w:shd w:val="clear" w:color="auto" w:fill="FFFFFF"/>
        <w:spacing w:after="0" w:line="270" w:lineRule="atLeast"/>
        <w:ind w:right="240"/>
        <w:jc w:val="both"/>
        <w:textAlignment w:val="baseline"/>
        <w:rPr>
          <w:rFonts w:ascii="Times New Roman" w:hAnsi="Times New Roman" w:cs="Times New Roman"/>
          <w:sz w:val="24"/>
          <w:szCs w:val="24"/>
          <w:lang w:eastAsia="tr-TR"/>
        </w:rPr>
      </w:pPr>
      <w:r w:rsidRPr="3F6B174F">
        <w:rPr>
          <w:rFonts w:ascii="Times New Roman" w:hAnsi="Times New Roman" w:cs="Times New Roman"/>
          <w:sz w:val="24"/>
          <w:szCs w:val="24"/>
          <w:lang w:eastAsia="tr-TR"/>
        </w:rPr>
        <w:t>Erasmus öğrenci seçiminde YDS/KPDS/ÜDS belgeleri (YDYO test sınavına denk) kabul edilecektir.</w:t>
      </w:r>
      <w:r>
        <w:t xml:space="preserve"> </w:t>
      </w:r>
      <w:r w:rsidRPr="3F6B174F">
        <w:rPr>
          <w:rFonts w:ascii="Times New Roman" w:hAnsi="Times New Roman" w:cs="Times New Roman"/>
          <w:sz w:val="24"/>
          <w:szCs w:val="24"/>
          <w:lang w:eastAsia="tr-TR"/>
        </w:rPr>
        <w:t xml:space="preserve">http://dokuman.osym.gov.tr/pdfdokuman/2016/GENEL/EsdegerlikTablosu29012016.pdf </w:t>
      </w:r>
      <w:r w:rsidRPr="003B383F">
        <w:rPr>
          <w:rFonts w:ascii="Times New Roman" w:hAnsi="Times New Roman" w:cs="Times New Roman"/>
          <w:sz w:val="24"/>
          <w:szCs w:val="24"/>
          <w:lang w:eastAsia="tr-TR"/>
        </w:rPr>
        <w:br/>
      </w:r>
    </w:p>
    <w:p w:rsidR="00E23D01" w:rsidRPr="003B383F" w:rsidRDefault="00E23D01" w:rsidP="00B8408F">
      <w:pPr>
        <w:spacing w:after="0" w:line="240" w:lineRule="auto"/>
        <w:jc w:val="both"/>
        <w:rPr>
          <w:rFonts w:ascii="Times New Roman" w:hAnsi="Times New Roman" w:cs="Times New Roman"/>
          <w:i/>
          <w:iCs/>
          <w:sz w:val="24"/>
          <w:szCs w:val="24"/>
          <w:lang w:eastAsia="tr-TR"/>
        </w:rPr>
      </w:pPr>
      <w:r w:rsidRPr="787C14B3">
        <w:rPr>
          <w:rFonts w:ascii="Times New Roman" w:hAnsi="Times New Roman" w:cs="Times New Roman"/>
          <w:b/>
          <w:bCs/>
          <w:i/>
          <w:iCs/>
          <w:sz w:val="24"/>
          <w:szCs w:val="24"/>
          <w:lang w:eastAsia="tr-TR"/>
        </w:rPr>
        <w:t>İngilizce dışı Yabancı Dillere Dair</w:t>
      </w:r>
    </w:p>
    <w:p w:rsidR="00E23D01" w:rsidRPr="003B383F" w:rsidRDefault="00E23D01" w:rsidP="00B8408F">
      <w:pPr>
        <w:spacing w:after="0" w:line="240" w:lineRule="auto"/>
        <w:jc w:val="both"/>
        <w:rPr>
          <w:rFonts w:ascii="Times New Roman" w:hAnsi="Times New Roman" w:cs="Times New Roman"/>
          <w:sz w:val="24"/>
          <w:szCs w:val="24"/>
          <w:lang w:eastAsia="tr-TR"/>
        </w:rPr>
      </w:pPr>
      <w:r>
        <w:br/>
      </w:r>
      <w:r w:rsidRPr="3F6B174F">
        <w:rPr>
          <w:rFonts w:ascii="Times New Roman" w:hAnsi="Times New Roman" w:cs="Times New Roman"/>
          <w:sz w:val="24"/>
          <w:szCs w:val="24"/>
          <w:lang w:eastAsia="tr-TR"/>
        </w:rPr>
        <w:t>Eğitim dili İngilizce olmayan kurumlara başvuracak öğrencilerimizin, varsa söz konusu dil ya da dilleri (B1) düzeyde bildiklerini gösterir belgeleri ibraz etmelidirler. Gerekirse, Erasmus Ofisi ilgili dilden yazılı ve sözlü sınav yapacaktır.</w:t>
      </w:r>
    </w:p>
    <w:p w:rsidR="00E23D01" w:rsidRPr="003B383F" w:rsidRDefault="00E23D01" w:rsidP="00B8408F">
      <w:pPr>
        <w:spacing w:after="0" w:line="240" w:lineRule="auto"/>
        <w:jc w:val="both"/>
        <w:rPr>
          <w:rFonts w:ascii="Times New Roman" w:hAnsi="Times New Roman" w:cs="Times New Roman"/>
          <w:sz w:val="24"/>
          <w:szCs w:val="24"/>
          <w:lang w:eastAsia="tr-TR"/>
        </w:rPr>
      </w:pPr>
    </w:p>
    <w:p w:rsidR="00E23D01" w:rsidRDefault="00E23D01" w:rsidP="787C14B3">
      <w:pPr>
        <w:pStyle w:val="NormalWeb"/>
        <w:spacing w:before="0" w:beforeAutospacing="0" w:after="0" w:afterAutospacing="0" w:line="293" w:lineRule="atLeast"/>
        <w:jc w:val="both"/>
        <w:rPr>
          <w:rStyle w:val="Strong"/>
          <w:i/>
          <w:iCs/>
        </w:rPr>
      </w:pPr>
    </w:p>
    <w:p w:rsidR="00E23D01" w:rsidRDefault="00E23D01" w:rsidP="787C14B3">
      <w:pPr>
        <w:pStyle w:val="NormalWeb"/>
        <w:spacing w:before="0" w:beforeAutospacing="0" w:after="0" w:afterAutospacing="0" w:line="293" w:lineRule="atLeast"/>
        <w:jc w:val="both"/>
        <w:rPr>
          <w:rStyle w:val="Strong"/>
          <w:i/>
          <w:iCs/>
        </w:rPr>
      </w:pPr>
    </w:p>
    <w:p w:rsidR="00E23D01" w:rsidRDefault="00E23D01" w:rsidP="787C14B3">
      <w:pPr>
        <w:pStyle w:val="NormalWeb"/>
        <w:spacing w:before="0" w:beforeAutospacing="0" w:after="0" w:afterAutospacing="0" w:line="293" w:lineRule="atLeast"/>
        <w:jc w:val="both"/>
        <w:rPr>
          <w:rStyle w:val="Strong"/>
          <w:i/>
          <w:iCs/>
        </w:rPr>
      </w:pPr>
    </w:p>
    <w:p w:rsidR="00E23D01" w:rsidRPr="003B383F" w:rsidRDefault="00E23D01" w:rsidP="787C14B3">
      <w:pPr>
        <w:pStyle w:val="NormalWeb"/>
        <w:spacing w:before="0" w:beforeAutospacing="0" w:after="0" w:afterAutospacing="0" w:line="293" w:lineRule="atLeast"/>
        <w:jc w:val="both"/>
        <w:rPr>
          <w:i/>
          <w:iCs/>
        </w:rPr>
      </w:pPr>
      <w:r w:rsidRPr="787C14B3">
        <w:rPr>
          <w:rStyle w:val="Strong"/>
          <w:i/>
          <w:iCs/>
        </w:rPr>
        <w:t>Başvuru Takvimi ve Yöntemi</w:t>
      </w:r>
    </w:p>
    <w:p w:rsidR="00E23D01" w:rsidRPr="003B383F" w:rsidRDefault="00E23D01" w:rsidP="787C14B3">
      <w:pPr>
        <w:pStyle w:val="NormalWeb"/>
        <w:spacing w:before="0" w:beforeAutospacing="0" w:after="0" w:afterAutospacing="0" w:line="293" w:lineRule="atLeast"/>
        <w:jc w:val="both"/>
        <w:rPr>
          <w:rFonts w:ascii="Helvetica" w:hAnsi="Helvetica" w:cs="Helvetica"/>
          <w:sz w:val="18"/>
          <w:szCs w:val="18"/>
        </w:rPr>
      </w:pPr>
      <w:r w:rsidRPr="3F6B174F">
        <w:rPr>
          <w:rStyle w:val="Strong"/>
          <w:rFonts w:ascii="Helvetica" w:hAnsi="Helvetica" w:cs="Helvetica"/>
          <w:sz w:val="18"/>
          <w:szCs w:val="18"/>
        </w:rPr>
        <w:t> </w:t>
      </w:r>
    </w:p>
    <w:p w:rsidR="00E23D01" w:rsidRPr="003B383F" w:rsidRDefault="00E23D01" w:rsidP="787C14B3">
      <w:pPr>
        <w:pStyle w:val="NormalWeb"/>
        <w:spacing w:before="0" w:beforeAutospacing="0" w:after="0" w:afterAutospacing="0" w:line="293" w:lineRule="atLeast"/>
        <w:jc w:val="both"/>
      </w:pPr>
      <w:r w:rsidRPr="3F6B174F">
        <w:rPr>
          <w:rStyle w:val="Strong"/>
        </w:rPr>
        <w:t>29/02/2016     “</w:t>
      </w:r>
      <w:r>
        <w:t>Erasmus Öğrenim Hareketliliği” ilanı İnternet üzerinden başvuru ve Dış İlişkiler Koordinatörlüğü/Erasmus Ofisine belge teslimi için</w:t>
      </w:r>
      <w:r w:rsidRPr="3F6B174F">
        <w:rPr>
          <w:rStyle w:val="apple-converted-space"/>
        </w:rPr>
        <w:t> </w:t>
      </w:r>
      <w:r w:rsidRPr="3F6B174F">
        <w:rPr>
          <w:rStyle w:val="Strong"/>
        </w:rPr>
        <w:t>başlangıç</w:t>
      </w:r>
      <w:r w:rsidRPr="3F6B174F">
        <w:rPr>
          <w:rStyle w:val="apple-converted-space"/>
        </w:rPr>
        <w:t> </w:t>
      </w:r>
      <w:r>
        <w:t>tarihi</w:t>
      </w:r>
    </w:p>
    <w:p w:rsidR="00E23D01" w:rsidRPr="003B383F" w:rsidRDefault="00E23D01" w:rsidP="787C14B3">
      <w:pPr>
        <w:pStyle w:val="NormalWeb"/>
        <w:spacing w:before="0" w:beforeAutospacing="0" w:after="0" w:afterAutospacing="0" w:line="293" w:lineRule="atLeast"/>
        <w:jc w:val="both"/>
      </w:pPr>
      <w:r w:rsidRPr="787C14B3">
        <w:rPr>
          <w:rStyle w:val="Strong"/>
        </w:rPr>
        <w:t>15/03/2016     </w:t>
      </w:r>
      <w:r>
        <w:t>İnternet üzerinden başvuru ve başvuru belgesi teslimi için</w:t>
      </w:r>
      <w:r w:rsidRPr="787C14B3">
        <w:rPr>
          <w:rStyle w:val="apple-converted-space"/>
        </w:rPr>
        <w:t> </w:t>
      </w:r>
      <w:r w:rsidRPr="787C14B3">
        <w:rPr>
          <w:rStyle w:val="Strong"/>
        </w:rPr>
        <w:t>son</w:t>
      </w:r>
      <w:r w:rsidRPr="787C14B3">
        <w:rPr>
          <w:rStyle w:val="apple-converted-space"/>
        </w:rPr>
        <w:t> </w:t>
      </w:r>
      <w:r>
        <w:t>tarih (</w:t>
      </w:r>
      <w:r w:rsidRPr="787C14B3">
        <w:rPr>
          <w:rStyle w:val="Strong"/>
          <w:u w:val="single"/>
        </w:rPr>
        <w:t>17:00’da sistem başvuruya kapanacaktır.</w:t>
      </w:r>
      <w:r>
        <w:t>)</w:t>
      </w:r>
    </w:p>
    <w:p w:rsidR="00E23D01" w:rsidRPr="003B383F" w:rsidRDefault="00E23D01" w:rsidP="787C14B3">
      <w:pPr>
        <w:pStyle w:val="NormalWeb"/>
        <w:spacing w:before="0" w:beforeAutospacing="0" w:after="0" w:afterAutospacing="0" w:line="293" w:lineRule="atLeast"/>
        <w:jc w:val="both"/>
        <w:rPr>
          <w:rStyle w:val="apple-converted-space"/>
          <w:b/>
          <w:bCs/>
        </w:rPr>
      </w:pPr>
      <w:bookmarkStart w:id="0" w:name="_GoBack"/>
      <w:bookmarkEnd w:id="0"/>
      <w:r w:rsidRPr="787C14B3">
        <w:rPr>
          <w:rStyle w:val="Strong"/>
        </w:rPr>
        <w:t>17 /03/2016    Yabancı Dil sınavı   </w:t>
      </w:r>
      <w:r w:rsidRPr="787C14B3">
        <w:rPr>
          <w:rStyle w:val="apple-converted-space"/>
          <w:b/>
          <w:bCs/>
        </w:rPr>
        <w:t> </w:t>
      </w:r>
    </w:p>
    <w:p w:rsidR="00E23D01" w:rsidRPr="003B383F" w:rsidRDefault="00E23D01" w:rsidP="787C14B3">
      <w:pPr>
        <w:pStyle w:val="NormalWeb"/>
        <w:spacing w:before="0" w:beforeAutospacing="0" w:after="0" w:afterAutospacing="0" w:line="293" w:lineRule="atLeast"/>
        <w:jc w:val="both"/>
        <w:rPr>
          <w:rStyle w:val="Strong"/>
        </w:rPr>
      </w:pPr>
      <w:r w:rsidRPr="787C14B3">
        <w:rPr>
          <w:rStyle w:val="Strong"/>
        </w:rPr>
        <w:t>21 /03/2016     Sonuçların ilanı  </w:t>
      </w:r>
    </w:p>
    <w:p w:rsidR="00E23D01" w:rsidRPr="003B383F" w:rsidRDefault="00E23D01" w:rsidP="00A7526C">
      <w:pPr>
        <w:pStyle w:val="NormalWeb"/>
        <w:spacing w:before="0" w:beforeAutospacing="0" w:after="0" w:afterAutospacing="0" w:line="293" w:lineRule="atLeast"/>
        <w:jc w:val="both"/>
        <w:rPr>
          <w:rStyle w:val="Strong"/>
        </w:rPr>
      </w:pPr>
    </w:p>
    <w:p w:rsidR="00E23D01" w:rsidRPr="003B383F" w:rsidRDefault="00E23D01" w:rsidP="787C14B3">
      <w:pPr>
        <w:pStyle w:val="NormalWeb"/>
        <w:spacing w:before="0" w:beforeAutospacing="0" w:after="0" w:afterAutospacing="0" w:line="293" w:lineRule="atLeast"/>
        <w:jc w:val="both"/>
      </w:pPr>
      <w:r w:rsidRPr="787C14B3">
        <w:rPr>
          <w:rStyle w:val="Strong"/>
        </w:rPr>
        <w:t>21-25 Mart 2016 </w:t>
      </w:r>
      <w:r w:rsidRPr="787C14B3">
        <w:rPr>
          <w:rStyle w:val="apple-converted-space"/>
          <w:b/>
          <w:bCs/>
        </w:rPr>
        <w:t> </w:t>
      </w:r>
      <w:r>
        <w:t>Sonuçlara itiraz ya da katılımdan vazgeçme (feragat) haftası</w:t>
      </w:r>
    </w:p>
    <w:p w:rsidR="00E23D01" w:rsidRPr="003B383F" w:rsidRDefault="00E23D01" w:rsidP="787C14B3">
      <w:pPr>
        <w:pStyle w:val="NormalWeb"/>
        <w:spacing w:before="0" w:beforeAutospacing="0" w:after="0" w:afterAutospacing="0" w:line="293" w:lineRule="atLeast"/>
        <w:jc w:val="both"/>
      </w:pPr>
      <w:r w:rsidRPr="3F6B174F">
        <w:rPr>
          <w:rStyle w:val="Strong"/>
        </w:rPr>
        <w:t>25-30 Mart 2016    </w:t>
      </w:r>
      <w:r w:rsidRPr="3F6B174F">
        <w:rPr>
          <w:rStyle w:val="apple-converted-space"/>
          <w:b/>
          <w:bCs/>
        </w:rPr>
        <w:t> </w:t>
      </w:r>
      <w:r>
        <w:t>Kesinleşen sonuçların ilanı ve gidilecek üniversitelere bildirim (nomination)</w:t>
      </w:r>
    </w:p>
    <w:p w:rsidR="00E23D01" w:rsidRPr="003B383F" w:rsidRDefault="00E23D01" w:rsidP="00A7526C">
      <w:pPr>
        <w:pStyle w:val="NormalWeb"/>
        <w:spacing w:before="0" w:beforeAutospacing="0" w:after="0" w:afterAutospacing="0" w:line="293" w:lineRule="atLeast"/>
        <w:jc w:val="both"/>
      </w:pPr>
    </w:p>
    <w:p w:rsidR="00E23D01" w:rsidRDefault="00E23D01" w:rsidP="787C14B3">
      <w:pPr>
        <w:pStyle w:val="NormalWeb"/>
        <w:spacing w:before="0" w:beforeAutospacing="0" w:after="0" w:afterAutospacing="0" w:line="293" w:lineRule="atLeast"/>
        <w:jc w:val="both"/>
      </w:pPr>
      <w:r w:rsidRPr="003B383F">
        <w:t>Başvurular, yukarıdaki takvim doğrultusunda öncelikle internetten gerçekleştirildikten sonra belgeler Rektörlük dış ilişkiler koordinatörlüğüne teslim edilecektir.</w:t>
      </w:r>
      <w:r>
        <w:t xml:space="preserve"> 15</w:t>
      </w:r>
      <w:r w:rsidRPr="003B383F">
        <w:t xml:space="preserve"> Mart 2016 saat:17:00'den sonra hiçbir başvuru kabul edilmeyecektir. </w:t>
      </w:r>
      <w:bookmarkStart w:id="1" w:name="_ftn1"/>
    </w:p>
    <w:bookmarkEnd w:id="1"/>
    <w:p w:rsidR="00E23D01" w:rsidRPr="003B383F" w:rsidRDefault="00E23D01" w:rsidP="00AA4BD7">
      <w:pPr>
        <w:pStyle w:val="NormalWeb"/>
        <w:spacing w:before="0" w:beforeAutospacing="0" w:after="0" w:afterAutospacing="0" w:line="293" w:lineRule="atLeast"/>
        <w:jc w:val="both"/>
      </w:pPr>
    </w:p>
    <w:p w:rsidR="00E23D01" w:rsidRPr="003B383F" w:rsidRDefault="00E23D01" w:rsidP="787C14B3">
      <w:pPr>
        <w:pStyle w:val="NormalWeb"/>
        <w:spacing w:before="0" w:beforeAutospacing="0" w:after="0" w:afterAutospacing="0" w:line="293" w:lineRule="atLeast"/>
        <w:jc w:val="both"/>
      </w:pPr>
      <w:r>
        <w:t xml:space="preserve">Öğrencinin not ortalamasının başvuru aşamasında asgari şartları sağlaması gerekir. Not ortalamasının tespitinde öğrencinin almış olduğu en son transkript kullanılır. Öğrencisi olunan (seçimlerin yapıldığı) yükseköğretim kurumu tarafından verilen güncel transkriptin kullanılması esas olmakla birlikte, yüksek lisans ve doktora düzeyinde ilk dönem başvuran ve henüz seçim yapılan yükseköğretim kurumunda transkripti oluşmamış öğrenciler için bir önceki yükseköğretim kademesinde alınan mezuniyet notu kullanılır. </w:t>
      </w:r>
    </w:p>
    <w:p w:rsidR="00E23D01" w:rsidRPr="003B383F" w:rsidRDefault="00E23D01" w:rsidP="00B8408F">
      <w:pPr>
        <w:spacing w:after="0" w:line="240" w:lineRule="auto"/>
        <w:jc w:val="both"/>
        <w:rPr>
          <w:rFonts w:ascii="Times New Roman" w:hAnsi="Times New Roman" w:cs="Times New Roman"/>
          <w:i/>
          <w:iCs/>
          <w:sz w:val="24"/>
          <w:szCs w:val="24"/>
          <w:lang w:eastAsia="tr-TR"/>
        </w:rPr>
      </w:pPr>
      <w:r>
        <w:br/>
      </w:r>
      <w:r w:rsidRPr="787C14B3">
        <w:rPr>
          <w:rFonts w:ascii="Times New Roman" w:hAnsi="Times New Roman" w:cs="Times New Roman"/>
          <w:b/>
          <w:bCs/>
          <w:i/>
          <w:iCs/>
          <w:sz w:val="24"/>
          <w:szCs w:val="24"/>
          <w:lang w:eastAsia="tr-TR"/>
        </w:rPr>
        <w:t>Hibe Sözleşmesi</w:t>
      </w:r>
    </w:p>
    <w:p w:rsidR="00E23D01" w:rsidRPr="003B383F" w:rsidRDefault="00E23D01" w:rsidP="00AD12B0">
      <w:pPr>
        <w:spacing w:after="0" w:line="240" w:lineRule="auto"/>
        <w:jc w:val="both"/>
        <w:rPr>
          <w:rFonts w:ascii="Times New Roman" w:hAnsi="Times New Roman" w:cs="Times New Roman"/>
          <w:b/>
          <w:bCs/>
          <w:sz w:val="24"/>
          <w:szCs w:val="24"/>
          <w:u w:val="single"/>
          <w:lang w:eastAsia="tr-TR"/>
        </w:rPr>
      </w:pPr>
      <w:r w:rsidRPr="3F6B174F">
        <w:rPr>
          <w:rFonts w:ascii="Times New Roman" w:hAnsi="Times New Roman" w:cs="Times New Roman"/>
          <w:sz w:val="24"/>
          <w:szCs w:val="24"/>
          <w:lang w:eastAsia="tr-TR"/>
        </w:rPr>
        <w:t xml:space="preserve">Erasmus hibesi Avrupa Komisyonu aracılığı ile Ulusal Ajans tarafından sağlanmaktadır. 2016–2017 akademik yılı için Üniversitemize tahsis edilecek hibe tutarı yaklaşık olarak Haziran-Temmuz 2016 tarihlerinde netleşecektir. Bu nedenle, başvuruların sona ermesinden sonra açıklanacak olan seçim sonuçları değerlendirme açısından nihai, ancak hibe koşulu açısından ÖN SEÇİM sonuçları olacaktır. Ulusal Ajans tarafından Üniversitemize ayrılan bütçenin elverdiği sayıda öğrencimize Erasmus hibesi tahsis edilebilecektir. </w:t>
      </w:r>
    </w:p>
    <w:p w:rsidR="00E23D01" w:rsidRDefault="00E23D01" w:rsidP="00C26302">
      <w:pPr>
        <w:pStyle w:val="NoSpacing"/>
        <w:jc w:val="both"/>
        <w:rPr>
          <w:rFonts w:ascii="Times New Roman" w:hAnsi="Times New Roman" w:cs="Times New Roman"/>
          <w:b/>
          <w:bCs/>
          <w:sz w:val="24"/>
          <w:szCs w:val="24"/>
          <w:u w:val="single"/>
        </w:rPr>
      </w:pPr>
    </w:p>
    <w:p w:rsidR="00E23D01" w:rsidRPr="003B383F" w:rsidRDefault="00E23D01" w:rsidP="00C26302">
      <w:pPr>
        <w:pStyle w:val="NoSpacing"/>
        <w:jc w:val="both"/>
        <w:rPr>
          <w:rFonts w:ascii="Times New Roman" w:hAnsi="Times New Roman" w:cs="Times New Roman"/>
          <w:b/>
          <w:bCs/>
          <w:sz w:val="24"/>
          <w:szCs w:val="24"/>
          <w:u w:val="single"/>
        </w:rPr>
      </w:pPr>
      <w:r w:rsidRPr="787C14B3">
        <w:rPr>
          <w:rFonts w:ascii="Times New Roman" w:hAnsi="Times New Roman" w:cs="Times New Roman"/>
          <w:b/>
          <w:bCs/>
          <w:sz w:val="24"/>
          <w:szCs w:val="24"/>
          <w:u w:val="single"/>
        </w:rPr>
        <w:t>ÖZEL KOŞULLAR:</w:t>
      </w:r>
    </w:p>
    <w:p w:rsidR="00E23D01" w:rsidRDefault="00E23D01" w:rsidP="00C26302">
      <w:pPr>
        <w:pStyle w:val="NoSpacing"/>
        <w:jc w:val="both"/>
        <w:rPr>
          <w:rFonts w:ascii="Times New Roman" w:hAnsi="Times New Roman" w:cs="Times New Roman"/>
          <w:b/>
          <w:bCs/>
          <w:sz w:val="24"/>
          <w:szCs w:val="24"/>
        </w:rPr>
      </w:pPr>
    </w:p>
    <w:p w:rsidR="00E23D01" w:rsidRPr="003B383F" w:rsidRDefault="00E23D01" w:rsidP="00C26302">
      <w:pPr>
        <w:pStyle w:val="NoSpacing"/>
        <w:jc w:val="both"/>
        <w:rPr>
          <w:rFonts w:ascii="Times New Roman" w:hAnsi="Times New Roman" w:cs="Times New Roman"/>
          <w:b/>
          <w:bCs/>
          <w:color w:val="FF0000"/>
          <w:sz w:val="24"/>
          <w:szCs w:val="24"/>
          <w:u w:val="single"/>
        </w:rPr>
      </w:pPr>
      <w:r w:rsidRPr="3F6B174F">
        <w:rPr>
          <w:rFonts w:ascii="Times New Roman" w:hAnsi="Times New Roman" w:cs="Times New Roman"/>
          <w:b/>
          <w:bCs/>
          <w:color w:val="FF0000"/>
          <w:sz w:val="24"/>
          <w:szCs w:val="24"/>
        </w:rPr>
        <w:t xml:space="preserve">Erasmus Öğrenim Hareketliliği için Ulusal Ajans tarafından Üniversitemize tahsis edilen bütçe belirlenene kadar, tüm başvuru sahipleri </w:t>
      </w:r>
      <w:r w:rsidRPr="3F6B174F">
        <w:rPr>
          <w:rFonts w:ascii="Times New Roman" w:hAnsi="Times New Roman" w:cs="Times New Roman"/>
          <w:b/>
          <w:bCs/>
          <w:color w:val="FF0000"/>
          <w:sz w:val="24"/>
          <w:szCs w:val="24"/>
          <w:u w:val="single"/>
        </w:rPr>
        <w:t>aday statüsündedir</w:t>
      </w:r>
      <w:r w:rsidRPr="3F6B174F">
        <w:rPr>
          <w:rFonts w:ascii="Times New Roman" w:hAnsi="Times New Roman" w:cs="Times New Roman"/>
          <w:b/>
          <w:bCs/>
          <w:color w:val="FF0000"/>
          <w:sz w:val="24"/>
          <w:szCs w:val="24"/>
        </w:rPr>
        <w:t xml:space="preserve">. Başvuru sahibi, seçilmiş olarak ilan edilse dahi yukarıdaki koşul sağlanıncaya değin </w:t>
      </w:r>
      <w:r w:rsidRPr="3F6B174F">
        <w:rPr>
          <w:rFonts w:ascii="Times New Roman" w:hAnsi="Times New Roman" w:cs="Times New Roman"/>
          <w:b/>
          <w:bCs/>
          <w:color w:val="FF0000"/>
          <w:sz w:val="24"/>
          <w:szCs w:val="24"/>
          <w:u w:val="single"/>
        </w:rPr>
        <w:t>adaydır</w:t>
      </w:r>
      <w:r w:rsidRPr="3F6B174F">
        <w:rPr>
          <w:rFonts w:ascii="Times New Roman" w:hAnsi="Times New Roman" w:cs="Times New Roman"/>
          <w:b/>
          <w:bCs/>
          <w:color w:val="FF0000"/>
          <w:sz w:val="24"/>
          <w:szCs w:val="24"/>
        </w:rPr>
        <w:t xml:space="preserve">. </w:t>
      </w:r>
    </w:p>
    <w:p w:rsidR="00E23D01" w:rsidRDefault="00E23D01" w:rsidP="00C26302">
      <w:pPr>
        <w:pStyle w:val="NoSpacing"/>
        <w:jc w:val="both"/>
        <w:rPr>
          <w:rFonts w:ascii="Times New Roman" w:hAnsi="Times New Roman" w:cs="Times New Roman"/>
          <w:sz w:val="24"/>
          <w:szCs w:val="24"/>
        </w:rPr>
      </w:pPr>
    </w:p>
    <w:p w:rsidR="00E23D01" w:rsidRPr="003B383F" w:rsidRDefault="00E23D01" w:rsidP="00C26302">
      <w:pPr>
        <w:pStyle w:val="NoSpacing"/>
        <w:jc w:val="both"/>
        <w:rPr>
          <w:rFonts w:ascii="Times New Roman" w:hAnsi="Times New Roman" w:cs="Times New Roman"/>
          <w:sz w:val="24"/>
          <w:szCs w:val="24"/>
        </w:rPr>
      </w:pPr>
      <w:r w:rsidRPr="3F6B174F">
        <w:rPr>
          <w:rFonts w:ascii="Times New Roman" w:hAnsi="Times New Roman" w:cs="Times New Roman"/>
          <w:sz w:val="24"/>
          <w:szCs w:val="24"/>
        </w:rPr>
        <w:t xml:space="preserve">Hareketlilik süresinin asgari sürenin altında olması durumunda (3 tam ay) sözkonusu hareketlilik için hibe ödemesi </w:t>
      </w:r>
      <w:r w:rsidRPr="3F6B174F">
        <w:rPr>
          <w:rFonts w:ascii="Times New Roman" w:hAnsi="Times New Roman" w:cs="Times New Roman"/>
          <w:b/>
          <w:bCs/>
          <w:sz w:val="24"/>
          <w:szCs w:val="24"/>
        </w:rPr>
        <w:t>yapılmaz.</w:t>
      </w:r>
      <w:r w:rsidRPr="3F6B174F">
        <w:rPr>
          <w:rFonts w:ascii="Times New Roman" w:hAnsi="Times New Roman" w:cs="Times New Roman"/>
          <w:sz w:val="24"/>
          <w:szCs w:val="24"/>
        </w:rPr>
        <w:t xml:space="preserve"> Öğrencinin erken dönmesini zorunlu kılacak mücbir sebep yoksa asgari faaliyet süresi şartına uygun olmaması nedeniyle kabul edilmemektedir.</w:t>
      </w:r>
    </w:p>
    <w:p w:rsidR="00E23D01" w:rsidRPr="003B383F" w:rsidRDefault="00E23D01" w:rsidP="00C26302">
      <w:pPr>
        <w:pStyle w:val="NoSpacing"/>
        <w:jc w:val="both"/>
        <w:rPr>
          <w:rFonts w:ascii="Times New Roman" w:hAnsi="Times New Roman" w:cs="Times New Roman"/>
          <w:sz w:val="24"/>
          <w:szCs w:val="24"/>
        </w:rPr>
      </w:pPr>
    </w:p>
    <w:p w:rsidR="00E23D01" w:rsidRPr="003B383F" w:rsidRDefault="00E23D01" w:rsidP="00C26302">
      <w:pPr>
        <w:pStyle w:val="NoSpacing"/>
        <w:jc w:val="both"/>
        <w:rPr>
          <w:rFonts w:ascii="Times New Roman" w:hAnsi="Times New Roman" w:cs="Times New Roman"/>
          <w:sz w:val="24"/>
          <w:szCs w:val="24"/>
        </w:rPr>
      </w:pPr>
      <w:r w:rsidRPr="3F6B174F">
        <w:rPr>
          <w:rFonts w:ascii="Times New Roman" w:hAnsi="Times New Roman" w:cs="Times New Roman"/>
          <w:sz w:val="24"/>
          <w:szCs w:val="24"/>
        </w:rPr>
        <w:t>Engelli öğrencilerimizden programdan yararlanmalarını teşvik etmek adına, seçilecek engelli öğrencilerimiz için standart hibelere ek olarak hibe tahsisi söz konusu olabilecektir. Gidilmesi planlanan kurumlarda engelli öğrencilere sunulan olanaklar hakkında ilgili anlaşmanın “</w:t>
      </w:r>
      <w:r w:rsidRPr="3F6B174F">
        <w:rPr>
          <w:rFonts w:ascii="Times New Roman" w:hAnsi="Times New Roman" w:cs="Times New Roman"/>
          <w:b/>
          <w:bCs/>
          <w:sz w:val="24"/>
          <w:szCs w:val="24"/>
        </w:rPr>
        <w:t>Additional Requirements</w:t>
      </w:r>
      <w:r w:rsidRPr="3F6B174F">
        <w:rPr>
          <w:rFonts w:ascii="Times New Roman" w:hAnsi="Times New Roman" w:cs="Times New Roman"/>
          <w:sz w:val="24"/>
          <w:szCs w:val="24"/>
        </w:rPr>
        <w:t xml:space="preserve">” bölümlerinden ya da doğrudan ilgili üniversite Erasmus ofisinden bilgi alınabilir. </w:t>
      </w:r>
    </w:p>
    <w:p w:rsidR="00E23D01" w:rsidRPr="003B383F" w:rsidRDefault="00E23D01" w:rsidP="00C26302">
      <w:pPr>
        <w:pStyle w:val="NoSpacing"/>
        <w:jc w:val="both"/>
        <w:rPr>
          <w:rFonts w:ascii="Times New Roman" w:hAnsi="Times New Roman" w:cs="Times New Roman"/>
          <w:sz w:val="24"/>
          <w:szCs w:val="24"/>
        </w:rPr>
      </w:pPr>
    </w:p>
    <w:p w:rsidR="00E23D01" w:rsidRPr="003B383F" w:rsidRDefault="00E23D01" w:rsidP="00C26302">
      <w:pPr>
        <w:pStyle w:val="NoSpacing"/>
        <w:jc w:val="both"/>
        <w:rPr>
          <w:rFonts w:ascii="Times New Roman" w:hAnsi="Times New Roman" w:cs="Times New Roman"/>
          <w:sz w:val="24"/>
          <w:szCs w:val="24"/>
        </w:rPr>
      </w:pPr>
      <w:r w:rsidRPr="787C14B3">
        <w:rPr>
          <w:rFonts w:ascii="Times New Roman" w:hAnsi="Times New Roman" w:cs="Times New Roman"/>
          <w:sz w:val="24"/>
          <w:szCs w:val="24"/>
        </w:rPr>
        <w:t xml:space="preserve">Öğrencilerin, mücbir sebeplerle (zorunluluk nedeniyle; ailevi sebepler, sağlık sebepleri, doğal afet gibi) planlanan hareketliliğin erken sonlandırılması gerektiği durumlarda öğrencilerin, bu durumlarını önceden AB ofisi ile iletime geçerek, AB ofisine bildirmeleri gerekmektedir. Durumun mücbir bir sebepten kaynaklanıp kaynaklanmadığına ilişkin onay, Koordinatörlüğümüzce </w:t>
      </w:r>
      <w:r w:rsidRPr="787C14B3">
        <w:rPr>
          <w:rFonts w:ascii="Times New Roman" w:hAnsi="Times New Roman" w:cs="Times New Roman"/>
          <w:b/>
          <w:bCs/>
          <w:sz w:val="24"/>
          <w:szCs w:val="24"/>
        </w:rPr>
        <w:t>Ulusal Ajans Başkanlığı’na</w:t>
      </w:r>
      <w:r w:rsidRPr="787C14B3">
        <w:rPr>
          <w:rFonts w:ascii="Times New Roman" w:hAnsi="Times New Roman" w:cs="Times New Roman"/>
          <w:sz w:val="24"/>
          <w:szCs w:val="24"/>
        </w:rPr>
        <w:t xml:space="preserve"> sorularak alınacaktır. Durumları mücbir sebep olarak değerlendirilen öğrencilerin yurtdışında kaldıkları süre karşılığı hibe miktarı kendilerinde bırakılmak üzere, fazladan ödenen hibenin iadesi istenir.</w:t>
      </w:r>
    </w:p>
    <w:p w:rsidR="00E23D01" w:rsidRPr="003B383F" w:rsidRDefault="00E23D01" w:rsidP="00C26302">
      <w:pPr>
        <w:pStyle w:val="NoSpacing"/>
        <w:jc w:val="both"/>
        <w:rPr>
          <w:rFonts w:ascii="Times New Roman" w:hAnsi="Times New Roman" w:cs="Times New Roman"/>
          <w:sz w:val="24"/>
          <w:szCs w:val="24"/>
        </w:rPr>
      </w:pPr>
    </w:p>
    <w:p w:rsidR="00E23D01" w:rsidRPr="00C63690" w:rsidRDefault="00E23D01" w:rsidP="00C26302">
      <w:pPr>
        <w:pStyle w:val="NoSpacing"/>
        <w:jc w:val="both"/>
        <w:rPr>
          <w:rFonts w:ascii="Times New Roman" w:hAnsi="Times New Roman" w:cs="Times New Roman"/>
          <w:b/>
          <w:bCs/>
          <w:sz w:val="24"/>
          <w:szCs w:val="24"/>
          <w:u w:val="single"/>
        </w:rPr>
      </w:pPr>
      <w:r w:rsidRPr="3F6B174F">
        <w:rPr>
          <w:rFonts w:ascii="Times New Roman" w:hAnsi="Times New Roman" w:cs="Times New Roman"/>
          <w:sz w:val="24"/>
          <w:szCs w:val="24"/>
        </w:rPr>
        <w:t xml:space="preserve">Öğrencilerin, hareketliliğe başladıktan kısa bir süre (3 aylık asgari süre sağlanmadan) sonra kendi istekleriyle (mücbir sebep olmaksızın) hareketliliklerini sona erdirmeleri halinde, öğrenciye ödenmiş bulunan hibe varsa geri talep edilir. Bu öğrenciler, aynı öğrenim kademesi içinde tekrar Erasmus öğrenim hareketliliğinden </w:t>
      </w:r>
      <w:r w:rsidRPr="3F6B174F">
        <w:rPr>
          <w:rFonts w:ascii="Times New Roman" w:hAnsi="Times New Roman" w:cs="Times New Roman"/>
          <w:sz w:val="24"/>
          <w:szCs w:val="24"/>
          <w:u w:val="single"/>
        </w:rPr>
        <w:t>yararlanamazlar.</w:t>
      </w:r>
    </w:p>
    <w:p w:rsidR="00E23D01" w:rsidRPr="00C63690" w:rsidRDefault="00E23D01" w:rsidP="00C26302">
      <w:pPr>
        <w:pStyle w:val="NoSpacing"/>
        <w:jc w:val="both"/>
        <w:rPr>
          <w:rFonts w:ascii="Times New Roman" w:hAnsi="Times New Roman" w:cs="Times New Roman"/>
          <w:sz w:val="24"/>
          <w:szCs w:val="24"/>
        </w:rPr>
      </w:pPr>
      <w:r w:rsidRPr="787C14B3">
        <w:rPr>
          <w:rFonts w:ascii="Times New Roman" w:hAnsi="Times New Roman" w:cs="Times New Roman"/>
          <w:sz w:val="24"/>
          <w:szCs w:val="24"/>
        </w:rPr>
        <w:t>Öğrencilerin, hareketliliğe başladıktan sonra öğrencilik sorumluluklarını yerine getirmemeleri halinde (derslere devam etmemek ya da sınavlara girmemek gibi), öğrenciye ödenmiş bulunan hibe varsa geri talep edilir.</w:t>
      </w:r>
    </w:p>
    <w:p w:rsidR="00E23D01" w:rsidRPr="00C63690" w:rsidRDefault="00E23D01" w:rsidP="00C26302">
      <w:pPr>
        <w:pStyle w:val="NoSpacing"/>
        <w:jc w:val="both"/>
        <w:rPr>
          <w:rFonts w:ascii="Times New Roman" w:hAnsi="Times New Roman" w:cs="Times New Roman"/>
          <w:sz w:val="24"/>
          <w:szCs w:val="24"/>
        </w:rPr>
      </w:pPr>
    </w:p>
    <w:p w:rsidR="00E23D01" w:rsidRPr="00031B41" w:rsidRDefault="00E23D01" w:rsidP="00C26302">
      <w:pPr>
        <w:pStyle w:val="NoSpacing"/>
        <w:jc w:val="both"/>
        <w:rPr>
          <w:rFonts w:ascii="Times New Roman" w:hAnsi="Times New Roman" w:cs="Times New Roman"/>
          <w:sz w:val="24"/>
          <w:szCs w:val="24"/>
        </w:rPr>
      </w:pPr>
      <w:r w:rsidRPr="3F6B174F">
        <w:rPr>
          <w:rFonts w:ascii="Times New Roman" w:hAnsi="Times New Roman" w:cs="Times New Roman"/>
          <w:sz w:val="24"/>
          <w:szCs w:val="24"/>
        </w:rPr>
        <w:t>Erasmus hareketliliklerine seçilen öğrencilere, faaliyete başlangıç öncesinden çevrimiçi (online) bir dil seviye tespit testi uygulanacaktır. Avrupa Komisyonunun “</w:t>
      </w:r>
      <w:r w:rsidRPr="3F6B174F">
        <w:rPr>
          <w:rFonts w:ascii="Times New Roman" w:hAnsi="Times New Roman" w:cs="Times New Roman"/>
          <w:b/>
          <w:bCs/>
          <w:sz w:val="24"/>
          <w:szCs w:val="24"/>
        </w:rPr>
        <w:t>Online Linguistic Support</w:t>
      </w:r>
      <w:r w:rsidRPr="3F6B174F">
        <w:rPr>
          <w:rFonts w:ascii="Times New Roman" w:hAnsi="Times New Roman" w:cs="Times New Roman"/>
          <w:sz w:val="24"/>
          <w:szCs w:val="24"/>
        </w:rPr>
        <w:t xml:space="preserve">” portalı üzerinden gerçekleştirilecek test sonucunda dil seviyesi </w:t>
      </w:r>
      <w:r w:rsidRPr="3F6B174F">
        <w:rPr>
          <w:rFonts w:ascii="Times New Roman" w:hAnsi="Times New Roman" w:cs="Times New Roman"/>
          <w:b/>
          <w:bCs/>
          <w:sz w:val="24"/>
          <w:szCs w:val="24"/>
        </w:rPr>
        <w:t>CEFR’e</w:t>
      </w:r>
      <w:r w:rsidRPr="3F6B174F">
        <w:rPr>
          <w:rFonts w:ascii="Times New Roman" w:hAnsi="Times New Roman" w:cs="Times New Roman"/>
          <w:sz w:val="24"/>
          <w:szCs w:val="24"/>
        </w:rPr>
        <w:t xml:space="preserve"> göre </w:t>
      </w:r>
      <w:r w:rsidRPr="3F6B174F">
        <w:rPr>
          <w:rFonts w:ascii="Times New Roman" w:hAnsi="Times New Roman" w:cs="Times New Roman"/>
          <w:b/>
          <w:bCs/>
          <w:sz w:val="24"/>
          <w:szCs w:val="24"/>
        </w:rPr>
        <w:t>B1 altı</w:t>
      </w:r>
      <w:r w:rsidRPr="3F6B174F">
        <w:rPr>
          <w:rFonts w:ascii="Times New Roman" w:hAnsi="Times New Roman" w:cs="Times New Roman"/>
          <w:sz w:val="24"/>
          <w:szCs w:val="24"/>
        </w:rPr>
        <w:t xml:space="preserve"> olan öğrencilere yine çevrimiçi bir dil kursu tanımlanacaktır. Benzer şekilde, öğrencilerin faaliyeti sonunda da dil testine girmeleri beklenmektedir. Sınav sonucu faaliyete katılmaya engel olmamakla birlikte, Avrupa Komisyonunca Programdan yararlanacak öğrenciler için </w:t>
      </w:r>
      <w:r w:rsidRPr="3F6B174F">
        <w:rPr>
          <w:rFonts w:ascii="Times New Roman" w:hAnsi="Times New Roman" w:cs="Times New Roman"/>
          <w:b/>
          <w:bCs/>
          <w:sz w:val="24"/>
          <w:szCs w:val="24"/>
        </w:rPr>
        <w:t>önerilmiş olan</w:t>
      </w:r>
      <w:r w:rsidRPr="3F6B174F">
        <w:rPr>
          <w:rFonts w:ascii="Times New Roman" w:hAnsi="Times New Roman" w:cs="Times New Roman"/>
          <w:sz w:val="24"/>
          <w:szCs w:val="24"/>
        </w:rPr>
        <w:t xml:space="preserve"> </w:t>
      </w:r>
      <w:r w:rsidRPr="3F6B174F">
        <w:rPr>
          <w:rFonts w:ascii="Times New Roman" w:hAnsi="Times New Roman" w:cs="Times New Roman"/>
          <w:b/>
          <w:bCs/>
          <w:sz w:val="24"/>
          <w:szCs w:val="24"/>
        </w:rPr>
        <w:t>seviye B1</w:t>
      </w:r>
      <w:r w:rsidRPr="3F6B174F">
        <w:rPr>
          <w:rFonts w:ascii="Times New Roman" w:hAnsi="Times New Roman" w:cs="Times New Roman"/>
          <w:sz w:val="24"/>
          <w:szCs w:val="24"/>
        </w:rPr>
        <w:t xml:space="preserve">’dir. </w:t>
      </w:r>
    </w:p>
    <w:p w:rsidR="00E23D01" w:rsidRDefault="00E23D01" w:rsidP="00C26302">
      <w:pPr>
        <w:pStyle w:val="NoSpacing"/>
        <w:jc w:val="both"/>
        <w:rPr>
          <w:rFonts w:ascii="Times New Roman" w:hAnsi="Times New Roman" w:cs="Times New Roman"/>
          <w:b/>
          <w:bCs/>
          <w:sz w:val="24"/>
          <w:szCs w:val="24"/>
          <w:u w:val="single"/>
        </w:rPr>
      </w:pPr>
    </w:p>
    <w:tbl>
      <w:tblPr>
        <w:tblW w:w="6192" w:type="dxa"/>
        <w:tblInd w:w="-68" w:type="dxa"/>
        <w:tblCellMar>
          <w:left w:w="70" w:type="dxa"/>
          <w:right w:w="70" w:type="dxa"/>
        </w:tblCellMar>
        <w:tblLook w:val="0000"/>
      </w:tblPr>
      <w:tblGrid>
        <w:gridCol w:w="3772"/>
        <w:gridCol w:w="2420"/>
      </w:tblGrid>
      <w:tr w:rsidR="00E23D01" w:rsidRPr="00C4518D">
        <w:trPr>
          <w:trHeight w:val="315"/>
        </w:trPr>
        <w:tc>
          <w:tcPr>
            <w:tcW w:w="3772" w:type="dxa"/>
            <w:tcBorders>
              <w:top w:val="single" w:sz="8" w:space="0" w:color="auto"/>
              <w:left w:val="single" w:sz="8" w:space="0" w:color="auto"/>
              <w:bottom w:val="single" w:sz="8" w:space="0" w:color="auto"/>
              <w:right w:val="single" w:sz="4" w:space="0" w:color="auto"/>
            </w:tcBorders>
            <w:shd w:val="clear" w:color="auto" w:fill="00FFFF"/>
            <w:noWrap/>
            <w:vAlign w:val="bottom"/>
          </w:tcPr>
          <w:p w:rsidR="00E23D01" w:rsidRPr="00C4518D" w:rsidRDefault="00E23D01" w:rsidP="00C4518D">
            <w:pPr>
              <w:spacing w:after="0" w:line="240" w:lineRule="auto"/>
              <w:rPr>
                <w:b/>
                <w:bCs/>
                <w:color w:val="FF0000"/>
                <w:lang w:eastAsia="tr-TR"/>
              </w:rPr>
            </w:pPr>
            <w:r w:rsidRPr="00C4518D">
              <w:rPr>
                <w:b/>
                <w:bCs/>
                <w:color w:val="FF0000"/>
                <w:lang w:eastAsia="tr-TR"/>
              </w:rPr>
              <w:t xml:space="preserve">                2016-2017 </w:t>
            </w:r>
            <w:r>
              <w:rPr>
                <w:b/>
                <w:bCs/>
                <w:color w:val="FF0000"/>
                <w:lang w:eastAsia="tr-TR"/>
              </w:rPr>
              <w:t xml:space="preserve">Erasmus+ </w:t>
            </w:r>
            <w:r w:rsidRPr="00C4518D">
              <w:rPr>
                <w:b/>
                <w:bCs/>
                <w:color w:val="FF0000"/>
                <w:lang w:eastAsia="tr-TR"/>
              </w:rPr>
              <w:t>Öğrenim Hareketliliği  Tahmini Kontenjanları</w:t>
            </w:r>
          </w:p>
        </w:tc>
        <w:tc>
          <w:tcPr>
            <w:tcW w:w="2420" w:type="dxa"/>
            <w:tcBorders>
              <w:top w:val="single" w:sz="8" w:space="0" w:color="auto"/>
              <w:left w:val="nil"/>
              <w:bottom w:val="single" w:sz="8" w:space="0" w:color="auto"/>
              <w:right w:val="single" w:sz="8" w:space="0" w:color="auto"/>
            </w:tcBorders>
            <w:shd w:val="clear" w:color="auto" w:fill="00FFFF"/>
            <w:noWrap/>
            <w:vAlign w:val="bottom"/>
          </w:tcPr>
          <w:p w:rsidR="00E23D01" w:rsidRPr="00C4518D" w:rsidRDefault="00E23D01" w:rsidP="00C4518D">
            <w:pPr>
              <w:spacing w:after="0" w:line="240" w:lineRule="auto"/>
              <w:rPr>
                <w:b/>
                <w:bCs/>
                <w:color w:val="FF0000"/>
                <w:lang w:eastAsia="tr-TR"/>
              </w:rPr>
            </w:pPr>
            <w:r w:rsidRPr="00C4518D">
              <w:rPr>
                <w:b/>
                <w:bCs/>
                <w:color w:val="FF0000"/>
                <w:lang w:eastAsia="tr-TR"/>
              </w:rPr>
              <w:t> </w:t>
            </w:r>
          </w:p>
        </w:tc>
      </w:tr>
      <w:tr w:rsidR="00E23D01" w:rsidRPr="00C4518D">
        <w:trPr>
          <w:trHeight w:val="315"/>
        </w:trPr>
        <w:tc>
          <w:tcPr>
            <w:tcW w:w="3772" w:type="dxa"/>
            <w:tcBorders>
              <w:top w:val="single" w:sz="8" w:space="0" w:color="auto"/>
              <w:left w:val="single" w:sz="8" w:space="0" w:color="auto"/>
              <w:bottom w:val="single" w:sz="8" w:space="0" w:color="auto"/>
              <w:right w:val="single" w:sz="4" w:space="0" w:color="auto"/>
            </w:tcBorders>
            <w:shd w:val="clear" w:color="auto" w:fill="FF99CC"/>
            <w:noWrap/>
            <w:vAlign w:val="bottom"/>
          </w:tcPr>
          <w:p w:rsidR="00E23D01" w:rsidRPr="00C4518D" w:rsidRDefault="00E23D01" w:rsidP="00C4518D">
            <w:pPr>
              <w:spacing w:after="0" w:line="240" w:lineRule="auto"/>
              <w:rPr>
                <w:b/>
                <w:bCs/>
                <w:color w:val="000000"/>
                <w:lang w:eastAsia="tr-TR"/>
              </w:rPr>
            </w:pPr>
            <w:r w:rsidRPr="00C4518D">
              <w:rPr>
                <w:b/>
                <w:bCs/>
                <w:color w:val="000000"/>
                <w:lang w:eastAsia="tr-TR"/>
              </w:rPr>
              <w:t>Bölüm</w:t>
            </w:r>
          </w:p>
        </w:tc>
        <w:tc>
          <w:tcPr>
            <w:tcW w:w="2420" w:type="dxa"/>
            <w:tcBorders>
              <w:top w:val="single" w:sz="8" w:space="0" w:color="auto"/>
              <w:left w:val="nil"/>
              <w:bottom w:val="single" w:sz="8" w:space="0" w:color="auto"/>
              <w:right w:val="single" w:sz="8" w:space="0" w:color="auto"/>
            </w:tcBorders>
            <w:shd w:val="clear" w:color="auto" w:fill="FF99CC"/>
            <w:noWrap/>
            <w:vAlign w:val="bottom"/>
          </w:tcPr>
          <w:p w:rsidR="00E23D01" w:rsidRPr="00C4518D" w:rsidRDefault="00E23D01" w:rsidP="00C4518D">
            <w:pPr>
              <w:spacing w:after="0" w:line="240" w:lineRule="auto"/>
              <w:rPr>
                <w:b/>
                <w:bCs/>
                <w:color w:val="000000"/>
                <w:lang w:eastAsia="tr-TR"/>
              </w:rPr>
            </w:pPr>
            <w:r w:rsidRPr="00C4518D">
              <w:rPr>
                <w:b/>
                <w:bCs/>
                <w:color w:val="000000"/>
                <w:lang w:eastAsia="tr-TR"/>
              </w:rPr>
              <w:t>Kontenjan</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Bilgisayar</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2</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Enerji</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3</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Pr>
                <w:color w:val="000000"/>
                <w:lang w:eastAsia="tr-TR"/>
              </w:rPr>
              <w:t>Kimya</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Pr>
                <w:color w:val="000000"/>
                <w:lang w:eastAsia="tr-TR"/>
              </w:rPr>
              <w:t>1</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Polimer</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2</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Hukuk</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1</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Çeko</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2</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Sosyal Hizmet</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Pr>
                <w:color w:val="000000"/>
                <w:lang w:eastAsia="tr-TR"/>
              </w:rPr>
              <w:t>2</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İşletme</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Pr>
                <w:color w:val="000000"/>
                <w:lang w:eastAsia="tr-TR"/>
              </w:rPr>
              <w:t>10</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U. İlişkiler</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Pr>
                <w:color w:val="000000"/>
                <w:lang w:eastAsia="tr-TR"/>
              </w:rPr>
              <w:t>10</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UTF</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2</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İktisat</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2</w:t>
            </w:r>
          </w:p>
        </w:tc>
      </w:tr>
      <w:tr w:rsidR="00E23D01" w:rsidRPr="00C4518D">
        <w:trPr>
          <w:trHeight w:val="300"/>
        </w:trPr>
        <w:tc>
          <w:tcPr>
            <w:tcW w:w="3772" w:type="dxa"/>
            <w:tcBorders>
              <w:top w:val="nil"/>
              <w:left w:val="single" w:sz="8" w:space="0" w:color="auto"/>
              <w:bottom w:val="single" w:sz="4" w:space="0" w:color="auto"/>
              <w:right w:val="single" w:sz="4"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FBE ve SBE</w:t>
            </w:r>
          </w:p>
        </w:tc>
        <w:tc>
          <w:tcPr>
            <w:tcW w:w="2420" w:type="dxa"/>
            <w:tcBorders>
              <w:top w:val="nil"/>
              <w:left w:val="nil"/>
              <w:bottom w:val="single" w:sz="4" w:space="0" w:color="auto"/>
              <w:right w:val="single" w:sz="8" w:space="0" w:color="auto"/>
            </w:tcBorders>
            <w:shd w:val="clear" w:color="auto" w:fill="FFCC99"/>
            <w:noWrap/>
            <w:vAlign w:val="bottom"/>
          </w:tcPr>
          <w:p w:rsidR="00E23D01" w:rsidRPr="00C4518D" w:rsidRDefault="00E23D01" w:rsidP="00C4518D">
            <w:pPr>
              <w:spacing w:after="0" w:line="240" w:lineRule="auto"/>
              <w:rPr>
                <w:color w:val="000000"/>
                <w:lang w:eastAsia="tr-TR"/>
              </w:rPr>
            </w:pPr>
            <w:r w:rsidRPr="00C4518D">
              <w:rPr>
                <w:color w:val="000000"/>
                <w:lang w:eastAsia="tr-TR"/>
              </w:rPr>
              <w:t>4</w:t>
            </w:r>
          </w:p>
        </w:tc>
      </w:tr>
      <w:tr w:rsidR="00E23D01" w:rsidRPr="00C4518D">
        <w:trPr>
          <w:trHeight w:val="315"/>
        </w:trPr>
        <w:tc>
          <w:tcPr>
            <w:tcW w:w="3772" w:type="dxa"/>
            <w:tcBorders>
              <w:top w:val="nil"/>
              <w:left w:val="single" w:sz="8" w:space="0" w:color="auto"/>
              <w:bottom w:val="single" w:sz="8" w:space="0" w:color="auto"/>
              <w:right w:val="single" w:sz="4" w:space="0" w:color="auto"/>
            </w:tcBorders>
            <w:shd w:val="clear" w:color="auto" w:fill="FFCC99"/>
            <w:noWrap/>
            <w:vAlign w:val="bottom"/>
          </w:tcPr>
          <w:p w:rsidR="00E23D01" w:rsidRPr="00C4518D" w:rsidRDefault="00E23D01" w:rsidP="00C4518D">
            <w:pPr>
              <w:spacing w:after="0" w:line="240" w:lineRule="auto"/>
              <w:rPr>
                <w:b/>
                <w:bCs/>
                <w:color w:val="000000"/>
                <w:lang w:eastAsia="tr-TR"/>
              </w:rPr>
            </w:pPr>
            <w:r w:rsidRPr="00C4518D">
              <w:rPr>
                <w:b/>
                <w:bCs/>
                <w:color w:val="000000"/>
                <w:lang w:eastAsia="tr-TR"/>
              </w:rPr>
              <w:t>TOPLAM</w:t>
            </w:r>
          </w:p>
        </w:tc>
        <w:tc>
          <w:tcPr>
            <w:tcW w:w="2420" w:type="dxa"/>
            <w:tcBorders>
              <w:top w:val="nil"/>
              <w:left w:val="nil"/>
              <w:bottom w:val="single" w:sz="8" w:space="0" w:color="auto"/>
              <w:right w:val="single" w:sz="8" w:space="0" w:color="auto"/>
            </w:tcBorders>
            <w:shd w:val="clear" w:color="auto" w:fill="FFCC99"/>
            <w:noWrap/>
            <w:vAlign w:val="bottom"/>
          </w:tcPr>
          <w:p w:rsidR="00E23D01" w:rsidRPr="00C4518D" w:rsidRDefault="00E23D01" w:rsidP="00C4518D">
            <w:pPr>
              <w:spacing w:after="0" w:line="240" w:lineRule="auto"/>
              <w:rPr>
                <w:b/>
                <w:bCs/>
                <w:color w:val="000000"/>
                <w:lang w:eastAsia="tr-TR"/>
              </w:rPr>
            </w:pPr>
            <w:r>
              <w:rPr>
                <w:b/>
                <w:bCs/>
                <w:color w:val="000000"/>
                <w:lang w:eastAsia="tr-TR"/>
              </w:rPr>
              <w:t>41</w:t>
            </w:r>
          </w:p>
        </w:tc>
      </w:tr>
    </w:tbl>
    <w:p w:rsidR="00E23D01" w:rsidRPr="00C63690" w:rsidRDefault="00E23D01" w:rsidP="00C02A56">
      <w:pPr>
        <w:spacing w:after="0" w:line="240" w:lineRule="auto"/>
        <w:jc w:val="both"/>
        <w:rPr>
          <w:lang w:eastAsia="tr-TR"/>
        </w:rPr>
      </w:pPr>
      <w:r>
        <w:rPr>
          <w:lang w:eastAsia="tr-TR"/>
        </w:rPr>
        <w:t xml:space="preserve">                                                         </w:t>
      </w:r>
    </w:p>
    <w:sectPr w:rsidR="00E23D01" w:rsidRPr="00C63690" w:rsidSect="00976E87">
      <w:pgSz w:w="23814" w:h="16840" w:orient="landscape" w:code="8"/>
      <w:pgMar w:top="540" w:right="720" w:bottom="720" w:left="720" w:header="709" w:footer="709" w:gutter="0"/>
      <w:cols w:num="3" w:space="92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F86"/>
    <w:multiLevelType w:val="multilevel"/>
    <w:tmpl w:val="DD48988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965445"/>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44E0C83"/>
    <w:multiLevelType w:val="multilevel"/>
    <w:tmpl w:val="62A6D1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2D025CEC"/>
    <w:multiLevelType w:val="hybridMultilevel"/>
    <w:tmpl w:val="631A7AB4"/>
    <w:lvl w:ilvl="0" w:tplc="BBD08A26">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33114CA3"/>
    <w:multiLevelType w:val="hybridMultilevel"/>
    <w:tmpl w:val="A2C62BFA"/>
    <w:lvl w:ilvl="0" w:tplc="041F0001">
      <w:start w:val="1"/>
      <w:numFmt w:val="bullet"/>
      <w:lvlText w:val=""/>
      <w:lvlJc w:val="left"/>
      <w:pPr>
        <w:tabs>
          <w:tab w:val="num" w:pos="408"/>
        </w:tabs>
        <w:ind w:left="408" w:hanging="360"/>
      </w:pPr>
      <w:rPr>
        <w:rFonts w:ascii="Symbol" w:hAnsi="Symbol" w:cs="Symbol" w:hint="default"/>
      </w:rPr>
    </w:lvl>
    <w:lvl w:ilvl="1" w:tplc="041F0003">
      <w:start w:val="1"/>
      <w:numFmt w:val="bullet"/>
      <w:lvlText w:val="o"/>
      <w:lvlJc w:val="left"/>
      <w:pPr>
        <w:tabs>
          <w:tab w:val="num" w:pos="1128"/>
        </w:tabs>
        <w:ind w:left="1128" w:hanging="360"/>
      </w:pPr>
      <w:rPr>
        <w:rFonts w:ascii="Courier New" w:hAnsi="Courier New" w:cs="Courier New" w:hint="default"/>
      </w:rPr>
    </w:lvl>
    <w:lvl w:ilvl="2" w:tplc="041F0005">
      <w:start w:val="1"/>
      <w:numFmt w:val="bullet"/>
      <w:lvlText w:val=""/>
      <w:lvlJc w:val="left"/>
      <w:pPr>
        <w:tabs>
          <w:tab w:val="num" w:pos="1848"/>
        </w:tabs>
        <w:ind w:left="1848" w:hanging="360"/>
      </w:pPr>
      <w:rPr>
        <w:rFonts w:ascii="Wingdings" w:hAnsi="Wingdings" w:cs="Wingdings" w:hint="default"/>
      </w:rPr>
    </w:lvl>
    <w:lvl w:ilvl="3" w:tplc="041F0001">
      <w:start w:val="1"/>
      <w:numFmt w:val="bullet"/>
      <w:lvlText w:val=""/>
      <w:lvlJc w:val="left"/>
      <w:pPr>
        <w:tabs>
          <w:tab w:val="num" w:pos="2568"/>
        </w:tabs>
        <w:ind w:left="2568" w:hanging="360"/>
      </w:pPr>
      <w:rPr>
        <w:rFonts w:ascii="Symbol" w:hAnsi="Symbol" w:cs="Symbol" w:hint="default"/>
      </w:rPr>
    </w:lvl>
    <w:lvl w:ilvl="4" w:tplc="041F0003">
      <w:start w:val="1"/>
      <w:numFmt w:val="bullet"/>
      <w:lvlText w:val="o"/>
      <w:lvlJc w:val="left"/>
      <w:pPr>
        <w:tabs>
          <w:tab w:val="num" w:pos="3288"/>
        </w:tabs>
        <w:ind w:left="3288" w:hanging="360"/>
      </w:pPr>
      <w:rPr>
        <w:rFonts w:ascii="Courier New" w:hAnsi="Courier New" w:cs="Courier New" w:hint="default"/>
      </w:rPr>
    </w:lvl>
    <w:lvl w:ilvl="5" w:tplc="041F0005">
      <w:start w:val="1"/>
      <w:numFmt w:val="bullet"/>
      <w:lvlText w:val=""/>
      <w:lvlJc w:val="left"/>
      <w:pPr>
        <w:tabs>
          <w:tab w:val="num" w:pos="4008"/>
        </w:tabs>
        <w:ind w:left="4008" w:hanging="360"/>
      </w:pPr>
      <w:rPr>
        <w:rFonts w:ascii="Wingdings" w:hAnsi="Wingdings" w:cs="Wingdings" w:hint="default"/>
      </w:rPr>
    </w:lvl>
    <w:lvl w:ilvl="6" w:tplc="041F0001">
      <w:start w:val="1"/>
      <w:numFmt w:val="bullet"/>
      <w:lvlText w:val=""/>
      <w:lvlJc w:val="left"/>
      <w:pPr>
        <w:tabs>
          <w:tab w:val="num" w:pos="4728"/>
        </w:tabs>
        <w:ind w:left="4728" w:hanging="360"/>
      </w:pPr>
      <w:rPr>
        <w:rFonts w:ascii="Symbol" w:hAnsi="Symbol" w:cs="Symbol" w:hint="default"/>
      </w:rPr>
    </w:lvl>
    <w:lvl w:ilvl="7" w:tplc="041F0003">
      <w:start w:val="1"/>
      <w:numFmt w:val="bullet"/>
      <w:lvlText w:val="o"/>
      <w:lvlJc w:val="left"/>
      <w:pPr>
        <w:tabs>
          <w:tab w:val="num" w:pos="5448"/>
        </w:tabs>
        <w:ind w:left="5448" w:hanging="360"/>
      </w:pPr>
      <w:rPr>
        <w:rFonts w:ascii="Courier New" w:hAnsi="Courier New" w:cs="Courier New" w:hint="default"/>
      </w:rPr>
    </w:lvl>
    <w:lvl w:ilvl="8" w:tplc="041F0005">
      <w:start w:val="1"/>
      <w:numFmt w:val="bullet"/>
      <w:lvlText w:val=""/>
      <w:lvlJc w:val="left"/>
      <w:pPr>
        <w:tabs>
          <w:tab w:val="num" w:pos="6168"/>
        </w:tabs>
        <w:ind w:left="6168" w:hanging="360"/>
      </w:pPr>
      <w:rPr>
        <w:rFonts w:ascii="Wingdings" w:hAnsi="Wingdings" w:cs="Wingdings" w:hint="default"/>
      </w:rPr>
    </w:lvl>
  </w:abstractNum>
  <w:abstractNum w:abstractNumId="5">
    <w:nsid w:val="36D83E4F"/>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06A6C6B"/>
    <w:multiLevelType w:val="hybridMultilevel"/>
    <w:tmpl w:val="19F42BF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448D0EBB"/>
    <w:multiLevelType w:val="multilevel"/>
    <w:tmpl w:val="B7BADC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7F5226E"/>
    <w:multiLevelType w:val="hybridMultilevel"/>
    <w:tmpl w:val="211CADAA"/>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9">
    <w:nsid w:val="59195806"/>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3C388C"/>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8C22B73"/>
    <w:multiLevelType w:val="hybridMultilevel"/>
    <w:tmpl w:val="1644792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2">
    <w:nsid w:val="69152620"/>
    <w:multiLevelType w:val="multilevel"/>
    <w:tmpl w:val="7B501D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66128A2"/>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7"/>
  </w:num>
  <w:num w:numId="3">
    <w:abstractNumId w:val="13"/>
  </w:num>
  <w:num w:numId="4">
    <w:abstractNumId w:val="0"/>
  </w:num>
  <w:num w:numId="5">
    <w:abstractNumId w:val="5"/>
  </w:num>
  <w:num w:numId="6">
    <w:abstractNumId w:val="10"/>
  </w:num>
  <w:num w:numId="7">
    <w:abstractNumId w:val="1"/>
  </w:num>
  <w:num w:numId="8">
    <w:abstractNumId w:val="9"/>
  </w:num>
  <w:num w:numId="9">
    <w:abstractNumId w:val="6"/>
  </w:num>
  <w:num w:numId="10">
    <w:abstractNumId w:val="8"/>
  </w:num>
  <w:num w:numId="11">
    <w:abstractNumId w:val="11"/>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08F"/>
    <w:rsid w:val="0000027D"/>
    <w:rsid w:val="00005C7C"/>
    <w:rsid w:val="00012A0F"/>
    <w:rsid w:val="00031B41"/>
    <w:rsid w:val="00036282"/>
    <w:rsid w:val="00040742"/>
    <w:rsid w:val="00047AF8"/>
    <w:rsid w:val="000A64CE"/>
    <w:rsid w:val="000B27B3"/>
    <w:rsid w:val="000C0391"/>
    <w:rsid w:val="000C4551"/>
    <w:rsid w:val="000D6D92"/>
    <w:rsid w:val="000E3004"/>
    <w:rsid w:val="00125BD3"/>
    <w:rsid w:val="00145CE0"/>
    <w:rsid w:val="001533FA"/>
    <w:rsid w:val="00171968"/>
    <w:rsid w:val="0018068C"/>
    <w:rsid w:val="00192A2D"/>
    <w:rsid w:val="001B0797"/>
    <w:rsid w:val="001B647C"/>
    <w:rsid w:val="001B7C1A"/>
    <w:rsid w:val="001C002F"/>
    <w:rsid w:val="001C222A"/>
    <w:rsid w:val="00233335"/>
    <w:rsid w:val="00263D9B"/>
    <w:rsid w:val="002944FD"/>
    <w:rsid w:val="002B4461"/>
    <w:rsid w:val="002B7956"/>
    <w:rsid w:val="002D5EF2"/>
    <w:rsid w:val="00312BB6"/>
    <w:rsid w:val="00336475"/>
    <w:rsid w:val="00342A42"/>
    <w:rsid w:val="003443A6"/>
    <w:rsid w:val="00344950"/>
    <w:rsid w:val="003528A0"/>
    <w:rsid w:val="0037529F"/>
    <w:rsid w:val="0038488C"/>
    <w:rsid w:val="003A5B5E"/>
    <w:rsid w:val="003B383F"/>
    <w:rsid w:val="003C17B6"/>
    <w:rsid w:val="003D13AB"/>
    <w:rsid w:val="003E4658"/>
    <w:rsid w:val="003F03AB"/>
    <w:rsid w:val="00405AF1"/>
    <w:rsid w:val="00406D77"/>
    <w:rsid w:val="004227DC"/>
    <w:rsid w:val="00433172"/>
    <w:rsid w:val="00453CFF"/>
    <w:rsid w:val="00497A7A"/>
    <w:rsid w:val="004B581D"/>
    <w:rsid w:val="004D2760"/>
    <w:rsid w:val="004D53E1"/>
    <w:rsid w:val="004E0383"/>
    <w:rsid w:val="004F16DF"/>
    <w:rsid w:val="0050060A"/>
    <w:rsid w:val="005110CB"/>
    <w:rsid w:val="005111C6"/>
    <w:rsid w:val="00516FC2"/>
    <w:rsid w:val="005201D9"/>
    <w:rsid w:val="005309DA"/>
    <w:rsid w:val="00555377"/>
    <w:rsid w:val="0056721D"/>
    <w:rsid w:val="0058495C"/>
    <w:rsid w:val="00585195"/>
    <w:rsid w:val="00587EA4"/>
    <w:rsid w:val="005A132E"/>
    <w:rsid w:val="005B2EBA"/>
    <w:rsid w:val="005E1C82"/>
    <w:rsid w:val="005E4CB0"/>
    <w:rsid w:val="005E58E2"/>
    <w:rsid w:val="005F72B9"/>
    <w:rsid w:val="006538B8"/>
    <w:rsid w:val="00666052"/>
    <w:rsid w:val="00670D4A"/>
    <w:rsid w:val="00685F7C"/>
    <w:rsid w:val="0069365F"/>
    <w:rsid w:val="00697984"/>
    <w:rsid w:val="006A1D1A"/>
    <w:rsid w:val="006B3BEF"/>
    <w:rsid w:val="006F0FEC"/>
    <w:rsid w:val="006F40CE"/>
    <w:rsid w:val="006F6624"/>
    <w:rsid w:val="0071542E"/>
    <w:rsid w:val="00720E00"/>
    <w:rsid w:val="00726468"/>
    <w:rsid w:val="00737F27"/>
    <w:rsid w:val="00741666"/>
    <w:rsid w:val="00742135"/>
    <w:rsid w:val="007462FD"/>
    <w:rsid w:val="007464FD"/>
    <w:rsid w:val="00761F07"/>
    <w:rsid w:val="00776F11"/>
    <w:rsid w:val="007B17F0"/>
    <w:rsid w:val="007D6775"/>
    <w:rsid w:val="00825DC2"/>
    <w:rsid w:val="00833121"/>
    <w:rsid w:val="0083571C"/>
    <w:rsid w:val="00837662"/>
    <w:rsid w:val="00843861"/>
    <w:rsid w:val="00846A51"/>
    <w:rsid w:val="00851EF5"/>
    <w:rsid w:val="0085676F"/>
    <w:rsid w:val="00874B70"/>
    <w:rsid w:val="008801A3"/>
    <w:rsid w:val="00885A70"/>
    <w:rsid w:val="008A34EE"/>
    <w:rsid w:val="008C6716"/>
    <w:rsid w:val="008C682A"/>
    <w:rsid w:val="008C6DD5"/>
    <w:rsid w:val="008E1627"/>
    <w:rsid w:val="008E73BB"/>
    <w:rsid w:val="008F6945"/>
    <w:rsid w:val="009042B9"/>
    <w:rsid w:val="0091354F"/>
    <w:rsid w:val="00922BD3"/>
    <w:rsid w:val="00932449"/>
    <w:rsid w:val="00934D68"/>
    <w:rsid w:val="00944F01"/>
    <w:rsid w:val="00954D70"/>
    <w:rsid w:val="009608CB"/>
    <w:rsid w:val="00967AA6"/>
    <w:rsid w:val="00976E87"/>
    <w:rsid w:val="00977DA7"/>
    <w:rsid w:val="009B323B"/>
    <w:rsid w:val="009B3A7E"/>
    <w:rsid w:val="009B75FC"/>
    <w:rsid w:val="009C3EB5"/>
    <w:rsid w:val="009D1B72"/>
    <w:rsid w:val="009E13CE"/>
    <w:rsid w:val="009E5ABA"/>
    <w:rsid w:val="009F2084"/>
    <w:rsid w:val="009F4DBA"/>
    <w:rsid w:val="00A217F3"/>
    <w:rsid w:val="00A7526C"/>
    <w:rsid w:val="00A7766A"/>
    <w:rsid w:val="00A83740"/>
    <w:rsid w:val="00A90A6D"/>
    <w:rsid w:val="00A93BB0"/>
    <w:rsid w:val="00AA2191"/>
    <w:rsid w:val="00AA3D3C"/>
    <w:rsid w:val="00AA4BD7"/>
    <w:rsid w:val="00AB169F"/>
    <w:rsid w:val="00AC29AD"/>
    <w:rsid w:val="00AD12B0"/>
    <w:rsid w:val="00AF1944"/>
    <w:rsid w:val="00AF7067"/>
    <w:rsid w:val="00B115A5"/>
    <w:rsid w:val="00B11970"/>
    <w:rsid w:val="00B20B05"/>
    <w:rsid w:val="00B26945"/>
    <w:rsid w:val="00B275BE"/>
    <w:rsid w:val="00B34AE6"/>
    <w:rsid w:val="00B355B7"/>
    <w:rsid w:val="00B62E44"/>
    <w:rsid w:val="00B6599A"/>
    <w:rsid w:val="00B65BB2"/>
    <w:rsid w:val="00B82276"/>
    <w:rsid w:val="00B8408F"/>
    <w:rsid w:val="00BA085E"/>
    <w:rsid w:val="00BB61C1"/>
    <w:rsid w:val="00BC2A86"/>
    <w:rsid w:val="00BC59E6"/>
    <w:rsid w:val="00BD7D0F"/>
    <w:rsid w:val="00C02A56"/>
    <w:rsid w:val="00C260EF"/>
    <w:rsid w:val="00C26302"/>
    <w:rsid w:val="00C36AB1"/>
    <w:rsid w:val="00C37501"/>
    <w:rsid w:val="00C44A14"/>
    <w:rsid w:val="00C4518D"/>
    <w:rsid w:val="00C53244"/>
    <w:rsid w:val="00C601E3"/>
    <w:rsid w:val="00C63690"/>
    <w:rsid w:val="00C71435"/>
    <w:rsid w:val="00C743AE"/>
    <w:rsid w:val="00C905FF"/>
    <w:rsid w:val="00CA70DB"/>
    <w:rsid w:val="00CB1297"/>
    <w:rsid w:val="00CE6487"/>
    <w:rsid w:val="00CF3205"/>
    <w:rsid w:val="00D03F77"/>
    <w:rsid w:val="00D46B3F"/>
    <w:rsid w:val="00D47D57"/>
    <w:rsid w:val="00D5369A"/>
    <w:rsid w:val="00D54D2B"/>
    <w:rsid w:val="00D75732"/>
    <w:rsid w:val="00D80635"/>
    <w:rsid w:val="00D862CA"/>
    <w:rsid w:val="00D96798"/>
    <w:rsid w:val="00DC7915"/>
    <w:rsid w:val="00DD1AAB"/>
    <w:rsid w:val="00DD4DE9"/>
    <w:rsid w:val="00DF15D7"/>
    <w:rsid w:val="00E23D01"/>
    <w:rsid w:val="00E36429"/>
    <w:rsid w:val="00E47ED6"/>
    <w:rsid w:val="00E86D33"/>
    <w:rsid w:val="00E97AD3"/>
    <w:rsid w:val="00EF2D88"/>
    <w:rsid w:val="00EF7AE7"/>
    <w:rsid w:val="00F22C8D"/>
    <w:rsid w:val="00F35252"/>
    <w:rsid w:val="00F35D6D"/>
    <w:rsid w:val="00F52946"/>
    <w:rsid w:val="00F57723"/>
    <w:rsid w:val="00F63B0B"/>
    <w:rsid w:val="00FA0F3E"/>
    <w:rsid w:val="00FC6802"/>
    <w:rsid w:val="00FE45B1"/>
    <w:rsid w:val="3F6B174F"/>
    <w:rsid w:val="787C14B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8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32E"/>
    <w:pPr>
      <w:ind w:left="720"/>
    </w:pPr>
  </w:style>
  <w:style w:type="character" w:styleId="Hyperlink">
    <w:name w:val="Hyperlink"/>
    <w:basedOn w:val="DefaultParagraphFont"/>
    <w:uiPriority w:val="99"/>
    <w:rsid w:val="0058495C"/>
    <w:rPr>
      <w:color w:val="0000FF"/>
      <w:u w:val="single"/>
    </w:rPr>
  </w:style>
  <w:style w:type="table" w:styleId="TableGrid">
    <w:name w:val="Table Grid"/>
    <w:basedOn w:val="TableNormal"/>
    <w:uiPriority w:val="99"/>
    <w:rsid w:val="000C03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E30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99"/>
    <w:qFormat/>
    <w:locked/>
    <w:rsid w:val="000E3004"/>
    <w:rPr>
      <w:b/>
      <w:bCs/>
    </w:rPr>
  </w:style>
  <w:style w:type="character" w:styleId="FollowedHyperlink">
    <w:name w:val="FollowedHyperlink"/>
    <w:basedOn w:val="DefaultParagraphFont"/>
    <w:uiPriority w:val="99"/>
    <w:semiHidden/>
    <w:rsid w:val="00DD4DE9"/>
    <w:rPr>
      <w:color w:val="800080"/>
      <w:u w:val="single"/>
    </w:rPr>
  </w:style>
  <w:style w:type="character" w:customStyle="1" w:styleId="apple-converted-space">
    <w:name w:val="apple-converted-space"/>
    <w:uiPriority w:val="99"/>
    <w:rsid w:val="00587EA4"/>
  </w:style>
  <w:style w:type="paragraph" w:styleId="NoSpacing">
    <w:name w:val="No Spacing"/>
    <w:uiPriority w:val="99"/>
    <w:qFormat/>
    <w:rsid w:val="00C26302"/>
    <w:rPr>
      <w:rFonts w:cs="Calibri"/>
    </w:rPr>
  </w:style>
  <w:style w:type="table" w:customStyle="1" w:styleId="GridTable1LightAccent1">
    <w:name w:val="Grid Table 1 Light Accent 1"/>
    <w:uiPriority w:val="99"/>
    <w:rsid w:val="00192A2D"/>
    <w:rPr>
      <w:rFonts w:cs="Calibri"/>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077424">
      <w:marLeft w:val="0"/>
      <w:marRight w:val="0"/>
      <w:marTop w:val="0"/>
      <w:marBottom w:val="0"/>
      <w:divBdr>
        <w:top w:val="none" w:sz="0" w:space="0" w:color="auto"/>
        <w:left w:val="none" w:sz="0" w:space="0" w:color="auto"/>
        <w:bottom w:val="none" w:sz="0" w:space="0" w:color="auto"/>
        <w:right w:val="none" w:sz="0" w:space="0" w:color="auto"/>
      </w:divBdr>
    </w:div>
    <w:div w:id="1624077425">
      <w:marLeft w:val="0"/>
      <w:marRight w:val="0"/>
      <w:marTop w:val="0"/>
      <w:marBottom w:val="0"/>
      <w:divBdr>
        <w:top w:val="none" w:sz="0" w:space="0" w:color="auto"/>
        <w:left w:val="none" w:sz="0" w:space="0" w:color="auto"/>
        <w:bottom w:val="none" w:sz="0" w:space="0" w:color="auto"/>
        <w:right w:val="none" w:sz="0" w:space="0" w:color="auto"/>
      </w:divBdr>
    </w:div>
    <w:div w:id="1624077426">
      <w:marLeft w:val="0"/>
      <w:marRight w:val="0"/>
      <w:marTop w:val="0"/>
      <w:marBottom w:val="0"/>
      <w:divBdr>
        <w:top w:val="none" w:sz="0" w:space="0" w:color="auto"/>
        <w:left w:val="none" w:sz="0" w:space="0" w:color="auto"/>
        <w:bottom w:val="none" w:sz="0" w:space="0" w:color="auto"/>
        <w:right w:val="none" w:sz="0" w:space="0" w:color="auto"/>
      </w:divBdr>
    </w:div>
    <w:div w:id="1624077427">
      <w:marLeft w:val="0"/>
      <w:marRight w:val="0"/>
      <w:marTop w:val="0"/>
      <w:marBottom w:val="0"/>
      <w:divBdr>
        <w:top w:val="none" w:sz="0" w:space="0" w:color="auto"/>
        <w:left w:val="none" w:sz="0" w:space="0" w:color="auto"/>
        <w:bottom w:val="none" w:sz="0" w:space="0" w:color="auto"/>
        <w:right w:val="none" w:sz="0" w:space="0" w:color="auto"/>
      </w:divBdr>
    </w:div>
    <w:div w:id="1624077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rasmus.yalov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asmus.yalova.edu.tr/ikilianlasmalar.asp" TargetMode="External"/><Relationship Id="rId5" Type="http://schemas.openxmlformats.org/officeDocument/2006/relationships/hyperlink" Target="http://erasmus.yalova.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2067</Words>
  <Characters>11782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akademik yılında (Güz ve Bahar dönemleri) Erasmus öğrenim hareketliliğinden faydalanmak isteyen öğrencilerimizin başvuruları 15 Nisan 2013 - 30 Nisan 2013 tarihleri arasında alınacaktır</dc:title>
  <dc:subject/>
  <dc:creator>ismail aktar</dc:creator>
  <cp:keywords/>
  <dc:description/>
  <cp:lastModifiedBy>Windows User</cp:lastModifiedBy>
  <cp:revision>3</cp:revision>
  <cp:lastPrinted>2016-02-23T13:52:00Z</cp:lastPrinted>
  <dcterms:created xsi:type="dcterms:W3CDTF">2016-02-23T13:53:00Z</dcterms:created>
  <dcterms:modified xsi:type="dcterms:W3CDTF">2016-02-23T13:57:00Z</dcterms:modified>
</cp:coreProperties>
</file>