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4128" w14:textId="77777777" w:rsidR="00660B95" w:rsidRPr="00660B95" w:rsidRDefault="00660B95" w:rsidP="00660B95">
      <w:pPr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  <w:fldChar w:fldCharType="begin"/>
      </w:r>
      <w:r w:rsidRPr="00660B95"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  <w:instrText>HYPERLINK "https://www.yalova.edu.tr/tr/Duyuru/Detay/iskur-genclik-programi-basliyor"</w:instrText>
      </w:r>
      <w:r w:rsidRPr="00660B95"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</w:r>
      <w:r w:rsidRPr="00660B95"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  <w:fldChar w:fldCharType="separate"/>
      </w:r>
      <w:r w:rsidRPr="00660B95">
        <w:rPr>
          <w:rFonts w:ascii="Poppins" w:eastAsia="Times New Roman" w:hAnsi="Poppins" w:cs="Poppins"/>
          <w:b/>
          <w:bCs/>
          <w:color w:val="444444"/>
          <w:kern w:val="0"/>
          <w:sz w:val="50"/>
          <w:szCs w:val="50"/>
          <w:u w:val="single"/>
          <w:bdr w:val="none" w:sz="0" w:space="0" w:color="auto" w:frame="1"/>
          <w:lang w:eastAsia="tr-TR"/>
          <w14:ligatures w14:val="none"/>
        </w:rPr>
        <w:t>İŞKUR Gençlik Programı Başlıyor</w:t>
      </w:r>
      <w:r w:rsidRPr="00660B95">
        <w:rPr>
          <w:rFonts w:ascii="Poppins" w:eastAsia="Times New Roman" w:hAnsi="Poppins" w:cs="Poppins"/>
          <w:b/>
          <w:bCs/>
          <w:color w:val="161616"/>
          <w:kern w:val="0"/>
          <w:sz w:val="50"/>
          <w:szCs w:val="50"/>
          <w:lang w:eastAsia="tr-TR"/>
          <w14:ligatures w14:val="none"/>
        </w:rPr>
        <w:fldChar w:fldCharType="end"/>
      </w:r>
    </w:p>
    <w:p w14:paraId="7CE67D4F" w14:textId="672B2642" w:rsidR="00660B95" w:rsidRPr="00660B95" w:rsidRDefault="00660B95" w:rsidP="00660B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59595"/>
          <w:kern w:val="0"/>
          <w:sz w:val="24"/>
          <w:szCs w:val="24"/>
          <w:lang w:eastAsia="tr-TR"/>
          <w14:ligatures w14:val="none"/>
        </w:rPr>
      </w:pPr>
      <w:hyperlink r:id="rId4" w:history="1">
        <w:r w:rsidRPr="00660B95">
          <w:rPr>
            <w:rFonts w:ascii="Poppins" w:eastAsia="Times New Roman" w:hAnsi="Poppins" w:cs="Poppins"/>
            <w:b/>
            <w:bCs/>
            <w:caps/>
            <w:color w:val="959595"/>
            <w:spacing w:val="15"/>
            <w:kern w:val="0"/>
            <w:sz w:val="20"/>
            <w:szCs w:val="20"/>
            <w:u w:val="single"/>
            <w:bdr w:val="none" w:sz="0" w:space="0" w:color="auto" w:frame="1"/>
            <w:lang w:eastAsia="tr-TR"/>
            <w14:ligatures w14:val="none"/>
          </w:rPr>
          <w:t>1</w:t>
        </w:r>
        <w:r w:rsidR="00C10121">
          <w:rPr>
            <w:rFonts w:ascii="Poppins" w:eastAsia="Times New Roman" w:hAnsi="Poppins" w:cs="Poppins"/>
            <w:b/>
            <w:bCs/>
            <w:caps/>
            <w:color w:val="959595"/>
            <w:spacing w:val="15"/>
            <w:kern w:val="0"/>
            <w:sz w:val="20"/>
            <w:szCs w:val="20"/>
            <w:u w:val="single"/>
            <w:bdr w:val="none" w:sz="0" w:space="0" w:color="auto" w:frame="1"/>
            <w:lang w:eastAsia="tr-TR"/>
            <w14:ligatures w14:val="none"/>
          </w:rPr>
          <w:t>3.10</w:t>
        </w:r>
        <w:r w:rsidRPr="00660B95">
          <w:rPr>
            <w:rFonts w:ascii="Poppins" w:eastAsia="Times New Roman" w:hAnsi="Poppins" w:cs="Poppins"/>
            <w:b/>
            <w:bCs/>
            <w:caps/>
            <w:color w:val="959595"/>
            <w:spacing w:val="15"/>
            <w:kern w:val="0"/>
            <w:sz w:val="20"/>
            <w:szCs w:val="20"/>
            <w:u w:val="single"/>
            <w:bdr w:val="none" w:sz="0" w:space="0" w:color="auto" w:frame="1"/>
            <w:lang w:eastAsia="tr-TR"/>
            <w14:ligatures w14:val="none"/>
          </w:rPr>
          <w:t>.2025</w:t>
        </w:r>
      </w:hyperlink>
    </w:p>
    <w:p w14:paraId="3162417A" w14:textId="77777777" w:rsid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İŞKUR Gençlik Programı nedir?</w:t>
      </w:r>
    </w:p>
    <w:p w14:paraId="32C4A063" w14:textId="77777777" w:rsidR="00FF0EB4" w:rsidRPr="00660B95" w:rsidRDefault="00FF0EB4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</w:p>
    <w:p w14:paraId="2176AFE0" w14:textId="640B7E7D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İŞKUR Gençlik Programı; Üniversite öğrencilerinin istihdam edilebilirliğini</w:t>
      </w:r>
      <w:r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artıracak bilgi, beceri, çalışma alışkanlığı ve disiplinini kazandırmak üzere</w:t>
      </w:r>
      <w:r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Türkiye İş Kurumu tarafından 10.12.2003 tarihli ve 25326 sayılı </w:t>
      </w:r>
      <w:r w:rsidR="00FF0EB4"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Resmî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="00AC4A22"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Gazete ’de</w:t>
      </w:r>
      <w:r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yayımlanan 5018 sayılı Kamu Mali Yönetimi ve Kontrol Kanununun ekli listesinde</w:t>
      </w:r>
      <w:r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yer alan devlet üniversiteleri ile iş birliği yapılarak düzenlenen ve işgücü</w:t>
      </w:r>
      <w:r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uyum programı uygulaması olan bir aktif işgücü programıdır.</w:t>
      </w:r>
    </w:p>
    <w:p w14:paraId="2B001507" w14:textId="77777777" w:rsidR="00C67B7B" w:rsidRDefault="00C67B7B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</w:pPr>
    </w:p>
    <w:p w14:paraId="6145F3F2" w14:textId="6F7307D3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Programda Üniversitemize Ne kadar Kontenjan Ayrıldı?</w:t>
      </w:r>
    </w:p>
    <w:p w14:paraId="53AC875E" w14:textId="0D9B7DFD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İŞKUR Gençlik Programı’nda Yalova Üniversitesinde okuyan öğrenciler için 5</w:t>
      </w:r>
      <w:r w:rsidR="003A5E3A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99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kontenjan ayrıldı.</w:t>
      </w:r>
    </w:p>
    <w:p w14:paraId="1CD2160A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42A43EE5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Programa Başvurular Ne Zaman ve Nereden Yapılacak?</w:t>
      </w:r>
    </w:p>
    <w:p w14:paraId="320DB90D" w14:textId="2E9973C3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Öğrenciler, İŞKUR Gençlik Programı’na 1</w:t>
      </w:r>
      <w:r w:rsidR="00AC4A22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3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-1</w:t>
      </w:r>
      <w:r w:rsidR="00AC4A22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7 Ekim 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2025 tarihleri arasında  </w:t>
      </w:r>
      <w:hyperlink r:id="rId5" w:history="1">
        <w:r w:rsidRPr="00660B95">
          <w:rPr>
            <w:rFonts w:ascii="Poppins" w:eastAsia="Times New Roman" w:hAnsi="Poppins" w:cs="Poppins"/>
            <w:color w:val="545454"/>
            <w:kern w:val="0"/>
            <w:sz w:val="27"/>
            <w:szCs w:val="27"/>
            <w:u w:val="single"/>
            <w:bdr w:val="none" w:sz="0" w:space="0" w:color="auto" w:frame="1"/>
            <w:lang w:eastAsia="tr-TR"/>
            <w14:ligatures w14:val="none"/>
          </w:rPr>
          <w:t>https://genclik.iskur.gov.tr/</w:t>
        </w:r>
      </w:hyperlink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 ve </w:t>
      </w:r>
      <w:hyperlink r:id="rId6" w:history="1">
        <w:r w:rsidRPr="00660B95">
          <w:rPr>
            <w:rFonts w:ascii="Poppins" w:eastAsia="Times New Roman" w:hAnsi="Poppins" w:cs="Poppins"/>
            <w:color w:val="545454"/>
            <w:kern w:val="0"/>
            <w:sz w:val="27"/>
            <w:szCs w:val="27"/>
            <w:u w:val="single"/>
            <w:bdr w:val="none" w:sz="0" w:space="0" w:color="auto" w:frame="1"/>
            <w:lang w:eastAsia="tr-TR"/>
            <w14:ligatures w14:val="none"/>
          </w:rPr>
          <w:t>https://www.iskur.gov.tr/</w:t>
        </w:r>
      </w:hyperlink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 adreslerinde yer alan yönlendirme bağlantılarıyla e-şube üzerinden başvuru yapılabilecektir.</w:t>
      </w:r>
    </w:p>
    <w:p w14:paraId="5380E3BD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12ADB676" w14:textId="58B3D0EE" w:rsidR="00660B95" w:rsidRPr="00660B95" w:rsidRDefault="00AC4A22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Programa başvuru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için Yalova </w:t>
      </w: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üniversitesi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içerisinde 6 birim için ilan açılmıştır. </w:t>
      </w:r>
    </w:p>
    <w:p w14:paraId="5DFD5BC0" w14:textId="77777777" w:rsidR="00AC4A22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                </w:t>
      </w:r>
    </w:p>
    <w:tbl>
      <w:tblPr>
        <w:tblW w:w="90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5095"/>
        <w:gridCol w:w="1499"/>
        <w:gridCol w:w="2216"/>
      </w:tblGrid>
      <w:tr w:rsidR="00AC4A22" w:rsidRPr="00AC4A22" w14:paraId="66141036" w14:textId="77777777" w:rsidTr="00AC4A22">
        <w:trPr>
          <w:trHeight w:val="31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BCAD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İŞKUR GENÇLİK PROGRAMI ÖĞRENCİ KONTEJANLARI</w:t>
            </w:r>
          </w:p>
        </w:tc>
      </w:tr>
      <w:tr w:rsidR="00AC4A22" w:rsidRPr="00AC4A22" w14:paraId="2A1EC1E7" w14:textId="77777777" w:rsidTr="00AC4A22">
        <w:trPr>
          <w:trHeight w:val="315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DFE1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82AB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C25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Kontenjan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9D48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Başvuran Sayısı</w:t>
            </w:r>
          </w:p>
        </w:tc>
      </w:tr>
      <w:tr w:rsidR="00AC4A22" w:rsidRPr="00AC4A22" w14:paraId="1E924BFA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803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0B95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Kampüs Rektörlük-SKS Daire Başkanlığı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D27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DBD5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6912B707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883D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84DE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Yalova MYO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2A76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EDB2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4F794392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101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C7B2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Çınarcık MYO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EAAD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E815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463011DB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1EFD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BFC8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Armutlu MYO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167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105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201A1BBC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CB23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C99F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Termal MYO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8C4F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B1B5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30597151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D0DE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98C2" w14:textId="77777777" w:rsidR="00AC4A22" w:rsidRPr="00AC4A22" w:rsidRDefault="00AC4A22" w:rsidP="00AC4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Altınova MYO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2895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E1B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C4A22" w:rsidRPr="00AC4A22" w14:paraId="1F887599" w14:textId="77777777" w:rsidTr="00AC4A22">
        <w:trPr>
          <w:trHeight w:val="300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F4AF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C99E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AFE7" w14:textId="77777777" w:rsidR="00AC4A22" w:rsidRPr="00AC4A22" w:rsidRDefault="00AC4A22" w:rsidP="00AC4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145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C4A22" w:rsidRPr="00AC4A22" w14:paraId="7EE8D6A1" w14:textId="77777777" w:rsidTr="00AC4A22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42B33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TOPLAM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1B59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C4A2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D451" w14:textId="77777777" w:rsidR="00AC4A22" w:rsidRPr="00AC4A22" w:rsidRDefault="00AC4A22" w:rsidP="00AC4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2D3D7674" w14:textId="34C3FE3E" w:rsid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</w:p>
    <w:tbl>
      <w:tblPr>
        <w:tblW w:w="10000" w:type="dxa"/>
        <w:tblInd w:w="-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10"/>
        <w:gridCol w:w="1162"/>
        <w:gridCol w:w="1162"/>
        <w:gridCol w:w="2828"/>
        <w:gridCol w:w="2298"/>
      </w:tblGrid>
      <w:tr w:rsidR="00EE0168" w:rsidRPr="00EE0168" w14:paraId="52758379" w14:textId="77777777" w:rsidTr="007C2626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4873F09A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PROGRAM NO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22E22F18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BAŞLANGIÇ TARİHİ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A357BD1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BİTİŞ TARİHİ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0DBE16F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SON BAŞVURU TARİHİ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1E64375E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YÜKLENİCİ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5ACD50A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UYGULAMA YERİ</w:t>
            </w:r>
          </w:p>
        </w:tc>
      </w:tr>
      <w:tr w:rsidR="00EE0168" w:rsidRPr="00EE0168" w14:paraId="514DF1CC" w14:textId="77777777" w:rsidTr="007C2626">
        <w:trPr>
          <w:trHeight w:val="8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141A48F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11769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4E52AF21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5157322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32EEC51B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D0C69EA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 </w:t>
            </w: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MESLEK YÜKSEKOKULU MÜDÜRLÜĞÜ</w:t>
            </w: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 (YALOVA ÜNİVERSİTESİ YALOVA MESLEK YÜKSEK OKULU BÜNYESİNDEKİ İLGİLİ BİRİMLER.)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3047E5F7" w14:textId="21F1BF2D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YALOVA MESLEK YÜKSEKOKULU BÜNYESİNDEKİ İLGİLİ BİRİMLER.</w:t>
            </w:r>
          </w:p>
        </w:tc>
      </w:tr>
      <w:tr w:rsidR="00EE0168" w:rsidRPr="00EE0168" w14:paraId="2F530AE9" w14:textId="77777777" w:rsidTr="007C2626">
        <w:trPr>
          <w:trHeight w:val="8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FA5F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11782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EF17F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34697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7E433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A4E18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TERMAL SAĞLIK HİZMETLERİ MESLEK YÜKSEKOKULU</w:t>
            </w: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 (YALOVA ÜNİVERSİTESİ TERMAL MESLEK YÜKSEK OKULU İLGİLİ BİRİMLERİ)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2D931" w14:textId="76448F4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TERMAL MESLEK YÜKSEOKULU İLGİLİ BİRİMLERİ</w:t>
            </w:r>
          </w:p>
        </w:tc>
      </w:tr>
      <w:tr w:rsidR="00EE0168" w:rsidRPr="00EE0168" w14:paraId="2A9625C1" w14:textId="77777777" w:rsidTr="007C2626">
        <w:trPr>
          <w:trHeight w:val="113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1FD66BE1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11800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7FF56B67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526585D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2B18AAB3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6C59505E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 </w:t>
            </w: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ARMUTLU MESLEK YÜKSEKOKULU</w:t>
            </w: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, (YALOVA ÜNİVERSİTESİ ARMUTLU MESLEK YÜKSEK OKULU BÜNYESİNDEKİ BÖLÜMLERDE ÇALIŞTIRILACAKTIR.)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396D20F5" w14:textId="3F398F4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ARMUTLU MESLEK YÜKSEKOKULU BÜNYESİNDEKİ BÖLÜMLERDE ÇALIŞTIRILACAKTIR.</w:t>
            </w:r>
          </w:p>
        </w:tc>
      </w:tr>
      <w:tr w:rsidR="00EE0168" w:rsidRPr="00EE0168" w14:paraId="3E8B4865" w14:textId="77777777" w:rsidTr="007C2626">
        <w:trPr>
          <w:trHeight w:val="8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3348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12020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326A7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E91CE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C946E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71EE5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REKTÖRLÜĞÜ SAĞLIK KÜLTÜR VE SPOR DAİRE BAŞKANLIĞI (YALOVA ÜNİVERSİTESİ MERKEZ KAMPÜSÜ İÇERİSİNDE YER ALAN İLGİLİ FAKÜLTELER.)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9165A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MERKEZ KAMPÜSÜ İÇERİSİNDE YER ALAN İLGİLİ FAKÜLTELER.</w:t>
            </w:r>
          </w:p>
        </w:tc>
      </w:tr>
      <w:tr w:rsidR="00EE0168" w:rsidRPr="00EE0168" w14:paraId="178B86ED" w14:textId="77777777" w:rsidTr="007C2626">
        <w:trPr>
          <w:trHeight w:val="8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0653265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454B0F27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6B91296D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3AEF3628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5FD643E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 </w:t>
            </w: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ÇINARCIK MESLEK YÜKSEK OKULU</w:t>
            </w: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 (YALOVA ÜNİVERSİTESİ ÇINARCIK MESLEK YÜKSEK OKULU İLGİLİ BİRİMLERİ)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64FB4B7A" w14:textId="1E3A73A2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ÇINARCIK MESLEK YÜKSEKOKULU İLGİLİ BİRİMLERİ</w:t>
            </w:r>
          </w:p>
        </w:tc>
      </w:tr>
      <w:tr w:rsidR="00EE0168" w:rsidRPr="00EE0168" w14:paraId="37B73E04" w14:textId="77777777" w:rsidTr="007C2626">
        <w:trPr>
          <w:trHeight w:val="99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3F262" w14:textId="77777777" w:rsidR="00EE0168" w:rsidRPr="00EE0168" w:rsidRDefault="00EE0168" w:rsidP="00EE01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E0168">
              <w:rPr>
                <w:rFonts w:ascii="inherit" w:eastAsia="Times New Roman" w:hAnsi="inherit" w:cs="Times New Roman"/>
                <w:color w:val="0088CC"/>
                <w:kern w:val="0"/>
                <w:sz w:val="20"/>
                <w:szCs w:val="20"/>
                <w:lang w:eastAsia="tr-TR"/>
                <w14:ligatures w14:val="none"/>
              </w:rPr>
              <w:t>12043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693F6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10.11.2025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70F99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E2226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17.10.2025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0BCD0" w14:textId="77777777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 </w:t>
            </w:r>
            <w:r w:rsidRPr="00EE016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ALTINOVA MESLEK YÜKSEK OKULU MÜDÜRLÜĞÜ</w:t>
            </w: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 (YALOVA ÜNİVERSİTESİ ALTINOVA MESLEK YÜKSEK OKULU İLGİLİ BİRİMLERİ)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2319" w14:textId="4372C35A" w:rsidR="00EE0168" w:rsidRPr="00EE0168" w:rsidRDefault="00EE0168" w:rsidP="00EE016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</w:pPr>
            <w:r w:rsidRPr="00EE0168">
              <w:rPr>
                <w:rFonts w:ascii="Verdana" w:eastAsia="Times New Roman" w:hAnsi="Verdana" w:cs="Times New Roman"/>
                <w:color w:val="333333"/>
                <w:kern w:val="0"/>
                <w:sz w:val="17"/>
                <w:szCs w:val="17"/>
                <w:lang w:eastAsia="tr-TR"/>
                <w14:ligatures w14:val="none"/>
              </w:rPr>
              <w:t>YALOVA ÜNİVERSİTESİ ALTINOVA MESLEK YÜKSEKOKULU İLGİLİ BİRİMLERİ</w:t>
            </w:r>
          </w:p>
        </w:tc>
      </w:tr>
    </w:tbl>
    <w:p w14:paraId="0AB36824" w14:textId="77777777" w:rsidR="00217E06" w:rsidRDefault="00217E06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</w:p>
    <w:p w14:paraId="108814AE" w14:textId="77777777" w:rsidR="00217E06" w:rsidRPr="00660B95" w:rsidRDefault="00217E06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</w:p>
    <w:p w14:paraId="29F612B7" w14:textId="03A813A8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proofErr w:type="gramStart"/>
      <w:r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Önemli!!!</w:t>
      </w:r>
      <w:proofErr w:type="gramEnd"/>
      <w:r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 xml:space="preserve"> Adaylar yalnızca bir ilana </w:t>
      </w:r>
      <w:r w:rsidR="00AC4A22"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başvuru yapabilir</w:t>
      </w: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 xml:space="preserve">. Başvuru ekranı detaylı incelenerek yanlış ilana başvuru </w:t>
      </w:r>
      <w:r w:rsidR="00AC4A22"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yapılmaması önem</w:t>
      </w: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 xml:space="preserve"> arz etmektedir.</w:t>
      </w:r>
    </w:p>
    <w:p w14:paraId="6038B066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79D4228D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Kimler Başvuru Yapabilir?</w:t>
      </w:r>
    </w:p>
    <w:p w14:paraId="5A3E71D5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Programa aşağıdaki şartlara sahip öğrenciler başvuru yapabilir.</w:t>
      </w:r>
    </w:p>
    <w:p w14:paraId="28A1E6E6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-  Üniversitemiz örgün </w:t>
      </w:r>
      <w:proofErr w:type="gram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eğitiminde(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uzaktan eğitim öğrencisi olmamak) kaydını dondurmuş ve/veya pasif durumda            olmayan ön lisans, lisans, yüksek lisans </w:t>
      </w:r>
      <w:proofErr w:type="gram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ve  doktora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öğrencisi olmak.</w:t>
      </w:r>
    </w:p>
    <w:p w14:paraId="6623DC52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lastRenderedPageBreak/>
        <w:t>-  Türkiye Cumhuriyeti vatandaşı olmak.</w:t>
      </w:r>
    </w:p>
    <w:p w14:paraId="08C81CAB" w14:textId="743C0910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- 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İŞKUR’a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kayıtlı olmak.</w:t>
      </w:r>
    </w:p>
    <w:p w14:paraId="00008EA9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18 yaşını tamamlamış olmak.</w:t>
      </w:r>
    </w:p>
    <w:p w14:paraId="306DA843" w14:textId="7A5FF79D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-  Yaşlılık veya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malullük aylığı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almamak.</w:t>
      </w:r>
    </w:p>
    <w:p w14:paraId="79DCD506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Program talep tarihinden önceki bir yıldan programın fiilen başlayacağı tarihe kadar yüklenicinin veya bağlı, ilgili, ilişkili ve yan kuruluşlarının çalışanı               olmamak.</w:t>
      </w:r>
    </w:p>
    <w:p w14:paraId="27E54822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Başvuru tarihinden önceki son bir aylık sürede (İşsiz olmak) sigortalı kısa veya uzun vadeli sigortalı olmamak.</w:t>
      </w:r>
    </w:p>
    <w:p w14:paraId="220D0B0F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-  Başvuru tarihi itibarıyla Kısa vadeli sigorta primlerinin yatmaması. (Çırak öğrenci, İEP katılımcısı </w:t>
      </w:r>
      <w:proofErr w:type="spell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v.b</w:t>
      </w:r>
      <w:proofErr w:type="spell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. olmamak)</w:t>
      </w:r>
    </w:p>
    <w:p w14:paraId="696DF598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Hane gelirinin Net Asgari ücretin 3 katını geçmemesi. (66.314 TL)</w:t>
      </w:r>
    </w:p>
    <w:p w14:paraId="3A73BC6F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  Kurum tarafından sunulan aktif işgücü veya işsizlik sigortası (işsizlik ödeneği almamak) programlarının yararlanıcısı olmamak.</w:t>
      </w:r>
    </w:p>
    <w:p w14:paraId="0510BD9A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6E467729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Programa Seçim Nasıl Yapılacak?</w:t>
      </w:r>
    </w:p>
    <w:p w14:paraId="20566545" w14:textId="5B65C8EF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Kura noter huzurunda </w:t>
      </w:r>
      <w:r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23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</w:t>
      </w:r>
      <w:r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Ekim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2025 </w:t>
      </w:r>
      <w:r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Perşembe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günü saat 1</w:t>
      </w:r>
      <w:r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1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.00 da Mehmet Okul Kongre ve Kültür Merkezin de yapılacaktır.</w:t>
      </w:r>
    </w:p>
    <w:p w14:paraId="2D77C7D5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6739FFF5" w14:textId="0826C8FC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b/>
          <w:bCs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Gençlik Programında Haftalık Yararlanma Süresi Ne Kadardır?</w:t>
      </w:r>
    </w:p>
    <w:p w14:paraId="371D4215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Öğrencilere okurken, ilgi ve yeteneklerine uygun istedikleri bir alanda çalışma imkânı veren program kapsamında gençler Haftalık yararlanma süresi en fazla yirmi iki buçuk saat ve üç gün olarak uygulanır.</w:t>
      </w:r>
    </w:p>
    <w:p w14:paraId="787CDE91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697350B1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b/>
          <w:bCs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Programa Katılan Öğrenciye Ne Kadar Ücret Verilecek?</w:t>
      </w:r>
    </w:p>
    <w:p w14:paraId="07EB856C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Programa katılan gençlere 2025 yılı için günlük 1083 TL cep harçlığı ödenecek.</w:t>
      </w:r>
    </w:p>
    <w:tbl>
      <w:tblPr>
        <w:tblpPr w:leftFromText="141" w:rightFromText="141" w:vertAnchor="text" w:horzAnchor="margin" w:tblpY="428"/>
        <w:tblW w:w="8350" w:type="dxa"/>
        <w:shd w:val="clear" w:color="auto" w:fill="F2EF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3695"/>
      </w:tblGrid>
      <w:tr w:rsidR="007C2626" w:rsidRPr="00660B95" w14:paraId="02A3C851" w14:textId="77777777" w:rsidTr="007C2626">
        <w:trPr>
          <w:trHeight w:val="247"/>
        </w:trPr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70F6953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b/>
                <w:bCs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Haftalık Çalışma gün Sayısı</w:t>
            </w:r>
          </w:p>
        </w:tc>
        <w:tc>
          <w:tcPr>
            <w:tcW w:w="3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4852F8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b/>
                <w:bCs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Ayda Ödenecek Ücret</w:t>
            </w:r>
          </w:p>
        </w:tc>
      </w:tr>
      <w:tr w:rsidR="007C2626" w:rsidRPr="00660B95" w14:paraId="54E49110" w14:textId="77777777" w:rsidTr="007C2626">
        <w:trPr>
          <w:trHeight w:val="263"/>
        </w:trPr>
        <w:tc>
          <w:tcPr>
            <w:tcW w:w="4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0488532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Haftada 1 gün </w:t>
            </w:r>
            <w:proofErr w:type="gramStart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( ayda</w:t>
            </w:r>
            <w:proofErr w:type="gramEnd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 4 gün)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2AAABA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4.332 TL</w:t>
            </w:r>
          </w:p>
        </w:tc>
      </w:tr>
      <w:tr w:rsidR="007C2626" w:rsidRPr="00660B95" w14:paraId="5BBF3740" w14:textId="77777777" w:rsidTr="007C2626">
        <w:trPr>
          <w:trHeight w:val="247"/>
        </w:trPr>
        <w:tc>
          <w:tcPr>
            <w:tcW w:w="4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F9DF771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Haftada 2 gün </w:t>
            </w:r>
            <w:proofErr w:type="gramStart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( ayda</w:t>
            </w:r>
            <w:proofErr w:type="gramEnd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 8 gün)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2A81B7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8.664 TL</w:t>
            </w:r>
          </w:p>
        </w:tc>
      </w:tr>
      <w:tr w:rsidR="007C2626" w:rsidRPr="00660B95" w14:paraId="56625223" w14:textId="77777777" w:rsidTr="007C2626">
        <w:trPr>
          <w:trHeight w:val="263"/>
        </w:trPr>
        <w:tc>
          <w:tcPr>
            <w:tcW w:w="4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1B7700F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Haftada 3 gün </w:t>
            </w:r>
            <w:proofErr w:type="gramStart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( ayda</w:t>
            </w:r>
            <w:proofErr w:type="gramEnd"/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 xml:space="preserve"> 12 gün)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EFE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52D92D" w14:textId="77777777" w:rsidR="007C2626" w:rsidRPr="00660B95" w:rsidRDefault="007C2626" w:rsidP="007C2626">
            <w:pPr>
              <w:spacing w:after="0" w:line="240" w:lineRule="auto"/>
              <w:jc w:val="center"/>
              <w:textAlignment w:val="baseline"/>
              <w:rPr>
                <w:rFonts w:ascii="Raleway" w:eastAsia="Times New Roman" w:hAnsi="Raleway" w:cs="Times New Roman"/>
                <w:color w:val="949494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B95">
              <w:rPr>
                <w:rFonts w:ascii="Raleway" w:eastAsia="Times New Roman" w:hAnsi="Raleway" w:cs="Times New Roman"/>
                <w:color w:val="6D6E71"/>
                <w:kern w:val="0"/>
                <w:sz w:val="21"/>
                <w:szCs w:val="21"/>
                <w:bdr w:val="none" w:sz="0" w:space="0" w:color="auto" w:frame="1"/>
                <w:lang w:eastAsia="tr-TR"/>
                <w14:ligatures w14:val="none"/>
              </w:rPr>
              <w:t>12.996 TL</w:t>
            </w:r>
          </w:p>
        </w:tc>
      </w:tr>
    </w:tbl>
    <w:p w14:paraId="716A4205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50E76EEA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5996E7E4" w14:textId="4204A3C7" w:rsidR="00660B95" w:rsidRPr="00660B95" w:rsidRDefault="00AC4A22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Katılımcılar için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Ödenecek Sosyal Güvenlik Primleri Nelerdir?</w:t>
      </w:r>
    </w:p>
    <w:p w14:paraId="0D4AEA5A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0E0D2DFA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Katılımcıların programa katılım sağladıkları günler için 5510 sayılı Kanunun 5 inci maddesinin birinci fıkrasının (e) bendi kapsamında ortaya </w:t>
      </w:r>
      <w:proofErr w:type="gram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çıkacak  %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5,5 oranında sosyal güvenlik prim giderleri ödenir.</w:t>
      </w:r>
    </w:p>
    <w:p w14:paraId="2AA99AE6" w14:textId="77777777" w:rsidR="00660B95" w:rsidRPr="00660B95" w:rsidRDefault="00660B95" w:rsidP="00660B95">
      <w:pPr>
        <w:shd w:val="clear" w:color="auto" w:fill="FFFFFF"/>
        <w:spacing w:after="30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47A8438B" w14:textId="409573D8" w:rsidR="00660B95" w:rsidRPr="00660B95" w:rsidRDefault="00AC4A22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Gençlik Programı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Uygulanabilecek Faaliyet Alanları Nelerdir?</w:t>
      </w:r>
    </w:p>
    <w:p w14:paraId="1D340B1B" w14:textId="01A86EA9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a) Sürdürülebilir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Kampüs Faaliyetlerinin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Desteklenmesi;</w:t>
      </w:r>
    </w:p>
    <w:p w14:paraId="709ADBF4" w14:textId="2A151AAE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b) Kampüs Altyapı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ve Bakım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Faaliyetlerinin Desteklenmesi;</w:t>
      </w:r>
    </w:p>
    <w:p w14:paraId="7FF514FA" w14:textId="7849E8AA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c) Sosyal ve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Kültürel Faaliyetlerin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Desteklenmesi;</w:t>
      </w:r>
    </w:p>
    <w:p w14:paraId="7832A60A" w14:textId="3B05FEF4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proofErr w:type="gram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ç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) Akademik ve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İdari Faaliyetlerin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Desteklenmesi;</w:t>
      </w:r>
    </w:p>
    <w:p w14:paraId="4A18CB23" w14:textId="68BDAED9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lastRenderedPageBreak/>
        <w:t xml:space="preserve">d) Toplumsal Hizmet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ve </w:t>
      </w:r>
      <w:proofErr w:type="gramStart"/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İşbirliği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Faaliyetlerinin Desteklenmesi;</w:t>
      </w:r>
    </w:p>
    <w:p w14:paraId="3435E125" w14:textId="30F7325C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e) Öğrenci Gelişim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ve Uyum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Faaliyetlerinin Desteklenmesi;</w:t>
      </w:r>
    </w:p>
    <w:p w14:paraId="120B23B5" w14:textId="2074988B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f) Dijital Dönüşüm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ve İnovasyon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Faaliyetlerinin Desteklenmesi;</w:t>
      </w:r>
    </w:p>
    <w:p w14:paraId="5065935F" w14:textId="2F08DEA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g) </w:t>
      </w:r>
      <w:r w:rsidR="00AC4A22"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Girişimcilik Ekosistemi</w:t>
      </w: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Faaliyetlerinin Desteklenmesi;</w:t>
      </w:r>
    </w:p>
    <w:p w14:paraId="63D37B53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b/>
          <w:bCs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Önemli!!!!: Öğrenciler Ağır Tehlikeli /Çok Tehlikeli ve Temizlik İşlerinde çalıştırılamazlar.</w:t>
      </w:r>
    </w:p>
    <w:p w14:paraId="432F1ADC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01263F7F" w14:textId="7D114139" w:rsidR="00660B95" w:rsidRPr="00660B95" w:rsidRDefault="00AC4A22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Gençlik Programı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Katılımcılarına Verilecek Eğitimler Nelerdir?</w:t>
      </w:r>
    </w:p>
    <w:p w14:paraId="335E88E2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a) İş sağlığı ve güvenliği eğitimi,</w:t>
      </w:r>
    </w:p>
    <w:p w14:paraId="4CB62436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b) Bağımlılıkla mücadele eğitimi,</w:t>
      </w:r>
    </w:p>
    <w:p w14:paraId="0298165B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c) İş arama becerisinin geliştirilmesi eğitimi,</w:t>
      </w:r>
    </w:p>
    <w:p w14:paraId="1F9E5E0D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proofErr w:type="gramStart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ç</w:t>
      </w:r>
      <w:proofErr w:type="gramEnd"/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) İş ahlakı, motivasyon ve stres yönetimi eğitimi,</w:t>
      </w:r>
    </w:p>
    <w:p w14:paraId="198AED06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d) Kişiler arası ilişkiler ve etkili iletişim eğitimi,</w:t>
      </w:r>
    </w:p>
    <w:p w14:paraId="01B3B090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e) Finansal okuryazarlık eğitimi, </w:t>
      </w:r>
    </w:p>
    <w:p w14:paraId="65892C52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f) Genel Müdürlük tarafından Kurumun tanıtımı ve İUP hakkında katılımcıların bilgilendirilmesi başta olmak üzere katılımcıların niteliğinin geliştirilmesine yönelik olarak talebin uygun bulunması ve ödenek tahsis edilmesi aşamasında belirlenebilecek diğer eğitimler,</w:t>
      </w:r>
    </w:p>
    <w:p w14:paraId="5A7645D8" w14:textId="77777777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Aptos" w:eastAsia="Times New Roman" w:hAnsi="Aptos" w:cs="Poppins"/>
          <w:color w:val="6B6B6B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g) Yüklenici kamu kurumunun faaliyet alanına yönelik olarak belirleyeceği diğer eğitimler.</w:t>
      </w:r>
    </w:p>
    <w:p w14:paraId="06624A36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03C5ABD3" w14:textId="35CD3E75" w:rsidR="00660B95" w:rsidRPr="00660B95" w:rsidRDefault="00AC4A22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Katılımcılar Programa</w:t>
      </w:r>
      <w:r w:rsidR="00660B95" w:rsidRPr="00660B95">
        <w:rPr>
          <w:rFonts w:ascii="Poppins" w:eastAsia="Times New Roman" w:hAnsi="Poppins" w:cs="Poppins"/>
          <w:b/>
          <w:bCs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Devam Ederken Başka Bir İşte Çalışabilir Mi?</w:t>
      </w:r>
    </w:p>
    <w:p w14:paraId="515D6597" w14:textId="6DC7BED4" w:rsidR="00660B95" w:rsidRPr="00660B95" w:rsidRDefault="00660B95" w:rsidP="00660B95">
      <w:pPr>
        <w:shd w:val="clear" w:color="auto" w:fill="FFFFFF"/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Katılımcılar programa devam ederken sürede 5510 sayılı Kanunun </w:t>
      </w:r>
      <w:proofErr w:type="gramStart"/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4 </w:t>
      </w:r>
      <w:r w:rsidR="00AC4A22"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>üncü</w:t>
      </w:r>
      <w:proofErr w:type="gramEnd"/>
      <w:r w:rsidR="00AC4A22"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maddesi</w:t>
      </w:r>
      <w:r w:rsidRPr="00660B95">
        <w:rPr>
          <w:rFonts w:ascii="Poppins" w:eastAsia="Times New Roman" w:hAnsi="Poppins" w:cs="Poppins"/>
          <w:color w:val="6B6B6B"/>
          <w:kern w:val="0"/>
          <w:sz w:val="27"/>
          <w:szCs w:val="27"/>
          <w:bdr w:val="none" w:sz="0" w:space="0" w:color="auto" w:frame="1"/>
          <w:lang w:eastAsia="tr-TR"/>
          <w14:ligatures w14:val="none"/>
        </w:rPr>
        <w:t xml:space="preserve"> kapsamında sigortalı olarak başka bir iş yerinde çalışabilir. Ancak katılımcıların programa devam ederken başka bir yerde sigortalı olması nedeniyle oluşabilecek sosyal güvenlik prim borcundan Kurum sorumlu tutulamaz.</w:t>
      </w:r>
    </w:p>
    <w:p w14:paraId="070F2495" w14:textId="77777777" w:rsidR="00660B95" w:rsidRPr="00660B95" w:rsidRDefault="00660B95" w:rsidP="00660B95">
      <w:pPr>
        <w:shd w:val="clear" w:color="auto" w:fill="FFFFFF"/>
        <w:spacing w:after="165" w:line="240" w:lineRule="auto"/>
        <w:jc w:val="both"/>
        <w:textAlignment w:val="baseline"/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</w:pPr>
      <w:r w:rsidRPr="00660B95">
        <w:rPr>
          <w:rFonts w:ascii="Poppins" w:eastAsia="Times New Roman" w:hAnsi="Poppins" w:cs="Poppins"/>
          <w:color w:val="6B6B6B"/>
          <w:kern w:val="0"/>
          <w:sz w:val="23"/>
          <w:szCs w:val="23"/>
          <w:lang w:eastAsia="tr-TR"/>
          <w14:ligatures w14:val="none"/>
        </w:rPr>
        <w:t> </w:t>
      </w:r>
    </w:p>
    <w:p w14:paraId="61555E61" w14:textId="77777777" w:rsidR="00C3724B" w:rsidRDefault="00C3724B"/>
    <w:sectPr w:rsidR="00C3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charset w:val="A2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5"/>
    <w:rsid w:val="00217E06"/>
    <w:rsid w:val="00321C4E"/>
    <w:rsid w:val="003A5E3A"/>
    <w:rsid w:val="003B4BED"/>
    <w:rsid w:val="00660B95"/>
    <w:rsid w:val="006F633D"/>
    <w:rsid w:val="007C2626"/>
    <w:rsid w:val="00836C28"/>
    <w:rsid w:val="00AC4A22"/>
    <w:rsid w:val="00C10121"/>
    <w:rsid w:val="00C3724B"/>
    <w:rsid w:val="00C67B7B"/>
    <w:rsid w:val="00EE0168"/>
    <w:rsid w:val="00F7453C"/>
    <w:rsid w:val="00FF0EB4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6D74"/>
  <w15:chartTrackingRefBased/>
  <w15:docId w15:val="{8221979E-7A69-4B6C-B22B-DFC5D66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0B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0B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0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0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0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0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0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0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0B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0B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0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kur.gov.tr/" TargetMode="External"/><Relationship Id="rId5" Type="http://schemas.openxmlformats.org/officeDocument/2006/relationships/hyperlink" Target="https://genclik.iskur.gov.tr/" TargetMode="External"/><Relationship Id="rId4" Type="http://schemas.openxmlformats.org/officeDocument/2006/relationships/hyperlink" Target="https://www.yalova.edu.tr/tr/Duyuru/Detay/iskur-genclik-programi-basliyo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Tan</dc:creator>
  <cp:keywords/>
  <dc:description/>
  <cp:lastModifiedBy>İsrafil Yücel</cp:lastModifiedBy>
  <cp:revision>9</cp:revision>
  <dcterms:created xsi:type="dcterms:W3CDTF">2025-10-10T12:58:00Z</dcterms:created>
  <dcterms:modified xsi:type="dcterms:W3CDTF">2025-10-13T09:07:00Z</dcterms:modified>
</cp:coreProperties>
</file>